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widowControl/>
        <w:autoSpaceDE w:val="0"/>
        <w:spacing w:line="600" w:lineRule="exact"/>
        <w:outlineLvl w:val="1"/>
        <w:rPr>
          <w:rFonts w:hint="eastAsia" w:ascii="黑体" w:hAnsi="黑体" w:eastAsia="黑体" w:cs="黑体"/>
          <w:kern w:val="0"/>
          <w:sz w:val="30"/>
          <w:szCs w:val="30"/>
          <w:lang w:val="en-US" w:eastAsia="zh-CN" w:bidi="ar"/>
        </w:rPr>
      </w:pPr>
      <w:bookmarkStart w:id="0" w:name="_GoBack"/>
      <w:bookmarkEnd w:id="0"/>
      <w:r>
        <w:rPr>
          <w:rFonts w:hint="eastAsia" w:ascii="黑体" w:hAnsi="黑体" w:eastAsia="黑体" w:cs="黑体"/>
          <w:kern w:val="0"/>
          <w:sz w:val="30"/>
          <w:szCs w:val="30"/>
          <w:lang w:bidi="ar"/>
        </w:rPr>
        <w:t>附件</w:t>
      </w:r>
      <w:r>
        <w:rPr>
          <w:rFonts w:hint="eastAsia" w:ascii="黑体" w:hAnsi="黑体" w:eastAsia="黑体" w:cs="黑体"/>
          <w:kern w:val="0"/>
          <w:sz w:val="30"/>
          <w:szCs w:val="30"/>
          <w:lang w:val="en-US" w:eastAsia="zh-CN" w:bidi="ar"/>
        </w:rPr>
        <w:t>3</w:t>
      </w:r>
    </w:p>
    <w:p>
      <w:pPr>
        <w:keepNext/>
        <w:keepLines/>
        <w:widowControl/>
        <w:autoSpaceDE w:val="0"/>
        <w:spacing w:before="156" w:beforeLines="50" w:line="700" w:lineRule="exact"/>
        <w:jc w:val="center"/>
        <w:outlineLvl w:val="1"/>
        <w:rPr>
          <w:rFonts w:hint="eastAsia" w:asciiTheme="majorEastAsia" w:hAnsiTheme="majorEastAsia" w:eastAsiaTheme="majorEastAsia" w:cstheme="majorEastAsia"/>
          <w:b/>
          <w:bCs/>
          <w:kern w:val="0"/>
          <w:sz w:val="44"/>
          <w:szCs w:val="44"/>
          <w:lang w:bidi="ar"/>
        </w:rPr>
      </w:pPr>
      <w:r>
        <w:rPr>
          <w:rFonts w:hint="eastAsia" w:asciiTheme="majorEastAsia" w:hAnsiTheme="majorEastAsia" w:eastAsiaTheme="majorEastAsia" w:cstheme="majorEastAsia"/>
          <w:b/>
          <w:bCs/>
          <w:kern w:val="0"/>
          <w:sz w:val="44"/>
          <w:szCs w:val="44"/>
          <w:lang w:bidi="ar"/>
        </w:rPr>
        <w:t>大黄山产业投资基金公开遴选管理人项目</w:t>
      </w:r>
    </w:p>
    <w:p>
      <w:pPr>
        <w:keepNext/>
        <w:keepLines/>
        <w:widowControl/>
        <w:autoSpaceDE w:val="0"/>
        <w:spacing w:before="156" w:beforeLines="50" w:line="700" w:lineRule="exact"/>
        <w:jc w:val="center"/>
        <w:outlineLvl w:val="1"/>
        <w:rPr>
          <w:rFonts w:hint="eastAsia" w:asciiTheme="majorEastAsia" w:hAnsiTheme="majorEastAsia" w:eastAsiaTheme="majorEastAsia" w:cstheme="majorEastAsia"/>
          <w:b/>
          <w:bCs/>
          <w:kern w:val="0"/>
          <w:sz w:val="44"/>
          <w:szCs w:val="44"/>
          <w:lang w:bidi="ar"/>
        </w:rPr>
      </w:pPr>
      <w:r>
        <w:rPr>
          <w:rFonts w:hint="eastAsia" w:asciiTheme="majorEastAsia" w:hAnsiTheme="majorEastAsia" w:eastAsiaTheme="majorEastAsia" w:cstheme="majorEastAsia"/>
          <w:b/>
          <w:bCs/>
          <w:kern w:val="0"/>
          <w:sz w:val="44"/>
          <w:szCs w:val="44"/>
          <w:lang w:bidi="ar"/>
        </w:rPr>
        <w:t>代理服务费说明</w:t>
      </w:r>
    </w:p>
    <w:p>
      <w:pPr>
        <w:numPr>
          <w:ilvl w:val="255"/>
          <w:numId w:val="0"/>
        </w:numPr>
        <w:spacing w:line="600" w:lineRule="exact"/>
        <w:ind w:firstLine="640" w:firstLineChars="200"/>
        <w:rPr>
          <w:rFonts w:ascii="仿宋_GB2312" w:hAnsi="仿宋_GB2312" w:eastAsia="仿宋_GB2312" w:cs="仿宋_GB2312"/>
          <w:kern w:val="0"/>
          <w:sz w:val="32"/>
          <w:szCs w:val="32"/>
          <w:lang w:bidi="ar"/>
        </w:rPr>
      </w:pPr>
    </w:p>
    <w:p>
      <w:pPr>
        <w:kinsoku w:val="0"/>
        <w:overflowPunct w:val="0"/>
        <w:spacing w:line="600" w:lineRule="exact"/>
        <w:ind w:right="96" w:firstLine="640" w:firstLineChars="200"/>
        <w:rPr>
          <w:rFonts w:hint="eastAsia" w:ascii="仿宋" w:hAnsi="仿宋" w:eastAsia="仿宋" w:cs="仿宋"/>
          <w:kern w:val="0"/>
          <w:sz w:val="32"/>
          <w:szCs w:val="32"/>
          <w:lang w:eastAsia="zh-CN" w:bidi="ar"/>
        </w:rPr>
      </w:pPr>
      <w:r>
        <w:rPr>
          <w:rFonts w:hint="eastAsia" w:ascii="仿宋" w:hAnsi="仿宋" w:eastAsia="仿宋" w:cs="仿宋"/>
          <w:kern w:val="0"/>
          <w:sz w:val="32"/>
          <w:szCs w:val="32"/>
          <w:lang w:bidi="ar"/>
        </w:rPr>
        <w:t>确认中选的申报机构在领取中选通知书前须向代理机构缴纳本项目代理服务费，可以转账（同城）、电汇（异地）方式或直接从其申报保证金中扣取。以“</w:t>
      </w:r>
      <w:r>
        <w:rPr>
          <w:rFonts w:hint="eastAsia" w:ascii="仿宋" w:hAnsi="仿宋" w:eastAsia="仿宋" w:cs="仿宋"/>
          <w:b/>
          <w:bCs/>
          <w:kern w:val="0"/>
          <w:sz w:val="32"/>
          <w:szCs w:val="32"/>
          <w:lang w:bidi="ar"/>
        </w:rPr>
        <w:t>申报机构所报投资期管理费费率与该</w:t>
      </w:r>
      <w:r>
        <w:rPr>
          <w:rFonts w:hint="eastAsia" w:ascii="仿宋" w:hAnsi="仿宋" w:eastAsia="仿宋" w:cs="仿宋"/>
          <w:b/>
          <w:bCs/>
          <w:kern w:val="0"/>
          <w:sz w:val="32"/>
          <w:szCs w:val="32"/>
          <w:lang w:val="en-US" w:eastAsia="zh-CN" w:bidi="ar"/>
        </w:rPr>
        <w:t>支</w:t>
      </w:r>
      <w:r>
        <w:rPr>
          <w:rFonts w:hint="eastAsia" w:ascii="仿宋" w:hAnsi="仿宋" w:eastAsia="仿宋" w:cs="仿宋"/>
          <w:b/>
          <w:bCs/>
          <w:kern w:val="0"/>
          <w:sz w:val="32"/>
          <w:szCs w:val="32"/>
          <w:lang w:bidi="ar"/>
        </w:rPr>
        <w:t>基金规模之积</w:t>
      </w:r>
      <w:r>
        <w:rPr>
          <w:rFonts w:hint="eastAsia" w:ascii="仿宋" w:hAnsi="仿宋" w:eastAsia="仿宋" w:cs="仿宋"/>
          <w:kern w:val="0"/>
          <w:sz w:val="32"/>
          <w:szCs w:val="32"/>
          <w:lang w:bidi="ar"/>
        </w:rPr>
        <w:t>”为计算基数，按国家发改委计价格[2002]1980号文规定标准下浮20%</w:t>
      </w:r>
      <w:r>
        <w:rPr>
          <w:rFonts w:hint="eastAsia" w:ascii="仿宋" w:hAnsi="仿宋" w:eastAsia="仿宋" w:cs="仿宋"/>
          <w:kern w:val="0"/>
          <w:sz w:val="32"/>
          <w:szCs w:val="32"/>
          <w:lang w:val="en-US" w:eastAsia="zh-CN" w:bidi="ar"/>
        </w:rPr>
        <w:t>计取</w:t>
      </w:r>
      <w:r>
        <w:rPr>
          <w:rFonts w:hint="eastAsia" w:ascii="仿宋" w:hAnsi="仿宋" w:eastAsia="仿宋" w:cs="仿宋"/>
          <w:kern w:val="0"/>
          <w:sz w:val="32"/>
          <w:szCs w:val="32"/>
          <w:lang w:eastAsia="zh-CN" w:bidi="ar"/>
        </w:rPr>
        <w:t>。</w:t>
      </w:r>
    </w:p>
    <w:p>
      <w:pPr>
        <w:kinsoku w:val="0"/>
        <w:overflowPunct w:val="0"/>
        <w:spacing w:line="600" w:lineRule="exact"/>
        <w:ind w:left="102" w:right="96" w:firstLine="643" w:firstLineChars="200"/>
        <w:rPr>
          <w:rFonts w:hint="eastAsia" w:ascii="仿宋" w:hAnsi="仿宋" w:eastAsia="仿宋" w:cs="仿宋"/>
          <w:kern w:val="0"/>
          <w:sz w:val="32"/>
          <w:szCs w:val="32"/>
          <w:lang w:bidi="ar"/>
        </w:rPr>
      </w:pPr>
      <w:r>
        <w:rPr>
          <w:rFonts w:hint="eastAsia" w:ascii="仿宋" w:hAnsi="仿宋" w:eastAsia="仿宋" w:cs="仿宋"/>
          <w:b/>
          <w:bCs/>
          <w:kern w:val="0"/>
          <w:sz w:val="32"/>
          <w:szCs w:val="32"/>
          <w:lang w:bidi="ar"/>
        </w:rPr>
        <w:t>计算示例</w:t>
      </w:r>
      <w:r>
        <w:rPr>
          <w:rFonts w:hint="eastAsia" w:ascii="仿宋" w:hAnsi="仿宋" w:eastAsia="仿宋" w:cs="仿宋"/>
          <w:kern w:val="0"/>
          <w:sz w:val="32"/>
          <w:szCs w:val="32"/>
          <w:lang w:bidi="ar"/>
        </w:rPr>
        <w:t>：假设申报机构所报投资期管理费费率</w:t>
      </w:r>
      <w:r>
        <w:rPr>
          <w:rFonts w:hint="eastAsia" w:ascii="仿宋" w:hAnsi="仿宋" w:eastAsia="仿宋" w:cs="仿宋"/>
          <w:kern w:val="0"/>
          <w:sz w:val="32"/>
          <w:szCs w:val="32"/>
          <w:lang w:val="en-US" w:eastAsia="zh-CN" w:bidi="ar"/>
        </w:rPr>
        <w:t>为2%，申报基金规模为20亿元，则</w:t>
      </w:r>
      <w:r>
        <w:rPr>
          <w:rFonts w:hint="eastAsia" w:ascii="仿宋" w:hAnsi="仿宋" w:eastAsia="仿宋" w:cs="仿宋"/>
          <w:kern w:val="0"/>
          <w:sz w:val="32"/>
          <w:szCs w:val="32"/>
          <w:lang w:bidi="ar"/>
        </w:rPr>
        <w:t>计算基数为</w:t>
      </w:r>
      <w:r>
        <w:rPr>
          <w:rFonts w:hint="eastAsia" w:ascii="仿宋" w:hAnsi="仿宋" w:eastAsia="仿宋" w:cs="仿宋"/>
          <w:kern w:val="0"/>
          <w:sz w:val="32"/>
          <w:szCs w:val="32"/>
          <w:lang w:val="en-US" w:eastAsia="zh-CN" w:bidi="ar"/>
        </w:rPr>
        <w:t>20亿元</w:t>
      </w:r>
      <w:r>
        <w:rPr>
          <w:rFonts w:hint="eastAsia" w:ascii="仿宋" w:hAnsi="仿宋" w:eastAsia="仿宋" w:cs="仿宋"/>
          <w:kern w:val="0"/>
          <w:sz w:val="32"/>
          <w:szCs w:val="32"/>
          <w:lang w:bidi="ar"/>
        </w:rPr>
        <w:t>×</w:t>
      </w:r>
      <w:r>
        <w:rPr>
          <w:rFonts w:hint="eastAsia" w:ascii="仿宋" w:hAnsi="仿宋" w:eastAsia="仿宋" w:cs="仿宋"/>
          <w:kern w:val="0"/>
          <w:sz w:val="32"/>
          <w:szCs w:val="32"/>
          <w:lang w:val="en-US" w:eastAsia="zh-CN" w:bidi="ar"/>
        </w:rPr>
        <w:t>2</w:t>
      </w:r>
      <w:r>
        <w:rPr>
          <w:rFonts w:hint="eastAsia" w:ascii="仿宋" w:hAnsi="仿宋" w:eastAsia="仿宋" w:cs="仿宋"/>
          <w:kern w:val="0"/>
          <w:sz w:val="32"/>
          <w:szCs w:val="32"/>
          <w:lang w:bidi="ar"/>
        </w:rPr>
        <w:t>％</w:t>
      </w:r>
      <w:r>
        <w:rPr>
          <w:rFonts w:hint="eastAsia" w:ascii="仿宋" w:hAnsi="仿宋" w:eastAsia="仿宋" w:cs="仿宋"/>
          <w:kern w:val="0"/>
          <w:sz w:val="32"/>
          <w:szCs w:val="32"/>
          <w:lang w:val="en-US" w:eastAsia="zh-CN" w:bidi="ar"/>
        </w:rPr>
        <w:t>=4</w:t>
      </w:r>
      <w:r>
        <w:rPr>
          <w:rFonts w:hint="eastAsia" w:ascii="仿宋" w:hAnsi="仿宋" w:eastAsia="仿宋" w:cs="仿宋"/>
          <w:kern w:val="0"/>
          <w:sz w:val="32"/>
          <w:szCs w:val="32"/>
          <w:lang w:bidi="ar"/>
        </w:rPr>
        <w:t>000万元，0-100万元部分费用为100×1.5％=1.5万元，100-500万元部分费用为400×0.8％=3.2万元，500-1000万元部分费用为500×0.45％=2.25万元，1000-</w:t>
      </w:r>
      <w:r>
        <w:rPr>
          <w:rFonts w:hint="eastAsia" w:ascii="仿宋" w:hAnsi="仿宋" w:eastAsia="仿宋" w:cs="仿宋"/>
          <w:kern w:val="0"/>
          <w:sz w:val="32"/>
          <w:szCs w:val="32"/>
          <w:lang w:val="en-US" w:eastAsia="zh-CN" w:bidi="ar"/>
        </w:rPr>
        <w:t>4</w:t>
      </w:r>
      <w:r>
        <w:rPr>
          <w:rFonts w:hint="eastAsia" w:ascii="仿宋" w:hAnsi="仿宋" w:eastAsia="仿宋" w:cs="仿宋"/>
          <w:kern w:val="0"/>
          <w:sz w:val="32"/>
          <w:szCs w:val="32"/>
          <w:lang w:bidi="ar"/>
        </w:rPr>
        <w:t>000万元部分费用为</w:t>
      </w:r>
      <w:r>
        <w:rPr>
          <w:rFonts w:hint="eastAsia" w:ascii="仿宋" w:hAnsi="仿宋" w:eastAsia="仿宋" w:cs="仿宋"/>
          <w:kern w:val="0"/>
          <w:sz w:val="32"/>
          <w:szCs w:val="32"/>
          <w:lang w:val="en-US" w:eastAsia="zh-CN" w:bidi="ar"/>
        </w:rPr>
        <w:t>3</w:t>
      </w:r>
      <w:r>
        <w:rPr>
          <w:rFonts w:hint="eastAsia" w:ascii="仿宋" w:hAnsi="仿宋" w:eastAsia="仿宋" w:cs="仿宋"/>
          <w:kern w:val="0"/>
          <w:sz w:val="32"/>
          <w:szCs w:val="32"/>
          <w:lang w:bidi="ar"/>
        </w:rPr>
        <w:t>000×0.25％=</w:t>
      </w:r>
      <w:r>
        <w:rPr>
          <w:rFonts w:hint="eastAsia" w:ascii="仿宋" w:hAnsi="仿宋" w:eastAsia="仿宋" w:cs="仿宋"/>
          <w:kern w:val="0"/>
          <w:sz w:val="32"/>
          <w:szCs w:val="32"/>
          <w:lang w:val="en-US" w:eastAsia="zh-CN" w:bidi="ar"/>
        </w:rPr>
        <w:t>7.5</w:t>
      </w:r>
      <w:r>
        <w:rPr>
          <w:rFonts w:hint="eastAsia" w:ascii="仿宋" w:hAnsi="仿宋" w:eastAsia="仿宋" w:cs="仿宋"/>
          <w:kern w:val="0"/>
          <w:sz w:val="32"/>
          <w:szCs w:val="32"/>
          <w:lang w:bidi="ar"/>
        </w:rPr>
        <w:t>万元。各项结果累计为1</w:t>
      </w:r>
      <w:r>
        <w:rPr>
          <w:rFonts w:hint="eastAsia" w:ascii="仿宋" w:hAnsi="仿宋" w:eastAsia="仿宋" w:cs="仿宋"/>
          <w:kern w:val="0"/>
          <w:sz w:val="32"/>
          <w:szCs w:val="32"/>
          <w:lang w:val="en-US" w:eastAsia="zh-CN" w:bidi="ar"/>
        </w:rPr>
        <w:t>4</w:t>
      </w:r>
      <w:r>
        <w:rPr>
          <w:rFonts w:hint="eastAsia" w:ascii="仿宋" w:hAnsi="仿宋" w:eastAsia="仿宋" w:cs="仿宋"/>
          <w:kern w:val="0"/>
          <w:sz w:val="32"/>
          <w:szCs w:val="32"/>
          <w:lang w:bidi="ar"/>
        </w:rPr>
        <w:t>.</w:t>
      </w:r>
      <w:r>
        <w:rPr>
          <w:rFonts w:hint="eastAsia" w:ascii="仿宋" w:hAnsi="仿宋" w:eastAsia="仿宋" w:cs="仿宋"/>
          <w:kern w:val="0"/>
          <w:sz w:val="32"/>
          <w:szCs w:val="32"/>
          <w:lang w:val="en-US" w:eastAsia="zh-CN" w:bidi="ar"/>
        </w:rPr>
        <w:t>4</w:t>
      </w:r>
      <w:r>
        <w:rPr>
          <w:rFonts w:hint="eastAsia" w:ascii="仿宋" w:hAnsi="仿宋" w:eastAsia="仿宋" w:cs="仿宋"/>
          <w:kern w:val="0"/>
          <w:sz w:val="32"/>
          <w:szCs w:val="32"/>
          <w:lang w:bidi="ar"/>
        </w:rPr>
        <w:t>5万元，按下浮</w:t>
      </w:r>
      <w:r>
        <w:rPr>
          <w:rFonts w:hint="eastAsia" w:ascii="仿宋" w:hAnsi="仿宋" w:eastAsia="仿宋" w:cs="仿宋"/>
          <w:kern w:val="0"/>
          <w:sz w:val="32"/>
          <w:szCs w:val="32"/>
          <w:lang w:val="en-US" w:eastAsia="zh-CN" w:bidi="ar"/>
        </w:rPr>
        <w:t>2</w:t>
      </w:r>
      <w:r>
        <w:rPr>
          <w:rFonts w:hint="eastAsia" w:ascii="仿宋" w:hAnsi="仿宋" w:eastAsia="仿宋" w:cs="仿宋"/>
          <w:kern w:val="0"/>
          <w:sz w:val="32"/>
          <w:szCs w:val="32"/>
          <w:lang w:bidi="ar"/>
        </w:rPr>
        <w:t>0%后计算,应支付代理服务费</w:t>
      </w:r>
      <w:r>
        <w:rPr>
          <w:rFonts w:hint="eastAsia" w:ascii="仿宋" w:hAnsi="仿宋" w:eastAsia="仿宋" w:cs="仿宋"/>
          <w:kern w:val="0"/>
          <w:sz w:val="32"/>
          <w:szCs w:val="32"/>
          <w:lang w:val="en-US" w:eastAsia="zh-CN" w:bidi="ar"/>
        </w:rPr>
        <w:t>14.45万元</w:t>
      </w:r>
      <w:r>
        <w:rPr>
          <w:rFonts w:hint="eastAsia" w:ascii="仿宋" w:hAnsi="仿宋" w:eastAsia="仿宋" w:cs="仿宋"/>
          <w:kern w:val="0"/>
          <w:sz w:val="32"/>
          <w:szCs w:val="32"/>
          <w:lang w:bidi="ar"/>
        </w:rPr>
        <w:t>×</w:t>
      </w:r>
      <w:r>
        <w:rPr>
          <w:rFonts w:hint="eastAsia" w:ascii="仿宋" w:hAnsi="仿宋" w:eastAsia="仿宋" w:cs="仿宋"/>
          <w:kern w:val="0"/>
          <w:sz w:val="32"/>
          <w:szCs w:val="32"/>
          <w:lang w:val="en-US" w:eastAsia="zh-CN" w:bidi="ar"/>
        </w:rPr>
        <w:t>80%</w:t>
      </w:r>
      <w:r>
        <w:rPr>
          <w:rFonts w:hint="eastAsia" w:ascii="仿宋" w:hAnsi="仿宋" w:eastAsia="仿宋" w:cs="仿宋"/>
          <w:kern w:val="0"/>
          <w:sz w:val="32"/>
          <w:szCs w:val="32"/>
          <w:lang w:bidi="ar"/>
        </w:rPr>
        <w:t>=</w:t>
      </w:r>
      <w:r>
        <w:rPr>
          <w:rFonts w:hint="eastAsia" w:ascii="仿宋" w:hAnsi="仿宋" w:eastAsia="仿宋" w:cs="仿宋"/>
          <w:kern w:val="0"/>
          <w:sz w:val="32"/>
          <w:szCs w:val="32"/>
          <w:lang w:val="en-US" w:eastAsia="zh-CN" w:bidi="ar"/>
        </w:rPr>
        <w:t>11</w:t>
      </w:r>
      <w:r>
        <w:rPr>
          <w:rFonts w:hint="eastAsia" w:ascii="仿宋" w:hAnsi="仿宋" w:eastAsia="仿宋" w:cs="仿宋"/>
          <w:kern w:val="0"/>
          <w:sz w:val="32"/>
          <w:szCs w:val="32"/>
          <w:lang w:bidi="ar"/>
        </w:rPr>
        <w:t>.</w:t>
      </w:r>
      <w:r>
        <w:rPr>
          <w:rFonts w:hint="eastAsia" w:ascii="仿宋" w:hAnsi="仿宋" w:eastAsia="仿宋" w:cs="仿宋"/>
          <w:kern w:val="0"/>
          <w:sz w:val="32"/>
          <w:szCs w:val="32"/>
          <w:lang w:val="en-US" w:eastAsia="zh-CN" w:bidi="ar"/>
        </w:rPr>
        <w:t>56</w:t>
      </w:r>
      <w:r>
        <w:rPr>
          <w:rFonts w:hint="eastAsia" w:ascii="仿宋" w:hAnsi="仿宋" w:eastAsia="仿宋" w:cs="仿宋"/>
          <w:kern w:val="0"/>
          <w:sz w:val="32"/>
          <w:szCs w:val="32"/>
          <w:lang w:bidi="ar"/>
        </w:rPr>
        <w:t>万元。</w:t>
      </w:r>
    </w:p>
    <w:p>
      <w:pPr>
        <w:kinsoku w:val="0"/>
        <w:overflowPunct w:val="0"/>
        <w:spacing w:line="600" w:lineRule="exact"/>
        <w:ind w:left="102" w:right="96" w:firstLine="640" w:firstLineChars="200"/>
        <w:rPr>
          <w:rFonts w:hint="eastAsia" w:ascii="仿宋" w:hAnsi="仿宋" w:eastAsia="仿宋" w:cs="仿宋"/>
          <w:kern w:val="0"/>
          <w:sz w:val="32"/>
          <w:szCs w:val="32"/>
          <w:lang w:bidi="ar"/>
        </w:rPr>
      </w:pPr>
      <w:r>
        <w:rPr>
          <w:rFonts w:hint="eastAsia" w:ascii="仿宋" w:hAnsi="仿宋" w:eastAsia="仿宋" w:cs="仿宋"/>
          <w:kern w:val="0"/>
          <w:sz w:val="32"/>
          <w:szCs w:val="32"/>
          <w:lang w:bidi="ar"/>
        </w:rPr>
        <w:t>代理服务费缴纳账户（</w:t>
      </w:r>
      <w:r>
        <w:rPr>
          <w:rFonts w:hint="eastAsia" w:ascii="仿宋" w:hAnsi="仿宋" w:eastAsia="仿宋" w:cs="仿宋"/>
          <w:b/>
          <w:bCs/>
          <w:kern w:val="0"/>
          <w:sz w:val="32"/>
          <w:szCs w:val="32"/>
          <w:lang w:bidi="ar"/>
        </w:rPr>
        <w:t>此账户与保证金缴纳账户不通用，请勿向此账户缴纳申报保证金</w:t>
      </w:r>
      <w:r>
        <w:rPr>
          <w:rFonts w:hint="eastAsia" w:ascii="仿宋" w:hAnsi="仿宋" w:eastAsia="仿宋" w:cs="仿宋"/>
          <w:kern w:val="0"/>
          <w:sz w:val="32"/>
          <w:szCs w:val="32"/>
          <w:lang w:bidi="ar"/>
        </w:rPr>
        <w:t>）：</w:t>
      </w:r>
    </w:p>
    <w:p>
      <w:pPr>
        <w:kinsoku w:val="0"/>
        <w:overflowPunct w:val="0"/>
        <w:spacing w:line="600" w:lineRule="exact"/>
        <w:ind w:left="102" w:right="96" w:firstLine="640" w:firstLineChars="200"/>
        <w:rPr>
          <w:rFonts w:hint="eastAsia" w:ascii="仿宋" w:hAnsi="仿宋" w:eastAsia="仿宋" w:cs="仿宋"/>
          <w:kern w:val="0"/>
          <w:sz w:val="32"/>
          <w:szCs w:val="32"/>
          <w:lang w:bidi="ar"/>
        </w:rPr>
      </w:pPr>
      <w:r>
        <w:rPr>
          <w:rFonts w:hint="eastAsia" w:ascii="仿宋" w:hAnsi="仿宋" w:eastAsia="仿宋" w:cs="仿宋"/>
          <w:kern w:val="0"/>
          <w:sz w:val="32"/>
          <w:szCs w:val="32"/>
          <w:lang w:bidi="ar"/>
        </w:rPr>
        <w:t>开户名称：安徽安天利信工程管理股份有限公司</w:t>
      </w:r>
    </w:p>
    <w:p>
      <w:pPr>
        <w:kinsoku w:val="0"/>
        <w:overflowPunct w:val="0"/>
        <w:spacing w:line="600" w:lineRule="exact"/>
        <w:ind w:left="102" w:right="96" w:firstLine="640" w:firstLineChars="200"/>
        <w:rPr>
          <w:rFonts w:hint="eastAsia" w:ascii="仿宋" w:hAnsi="仿宋" w:eastAsia="仿宋" w:cs="仿宋"/>
          <w:kern w:val="0"/>
          <w:sz w:val="32"/>
          <w:szCs w:val="32"/>
          <w:lang w:bidi="ar"/>
        </w:rPr>
      </w:pPr>
      <w:r>
        <w:rPr>
          <w:rFonts w:hint="eastAsia" w:ascii="仿宋" w:hAnsi="仿宋" w:eastAsia="仿宋" w:cs="仿宋"/>
          <w:kern w:val="0"/>
          <w:sz w:val="32"/>
          <w:szCs w:val="32"/>
          <w:lang w:bidi="ar"/>
        </w:rPr>
        <w:t>开户银行：招行合肥高新区支行</w:t>
      </w:r>
    </w:p>
    <w:p>
      <w:pPr>
        <w:kinsoku w:val="0"/>
        <w:overflowPunct w:val="0"/>
        <w:spacing w:line="600" w:lineRule="exact"/>
        <w:ind w:left="102" w:right="96" w:firstLine="640" w:firstLineChars="200"/>
        <w:rPr>
          <w:rFonts w:hint="eastAsia" w:ascii="仿宋" w:hAnsi="仿宋" w:eastAsia="仿宋" w:cs="仿宋"/>
          <w:sz w:val="32"/>
          <w:szCs w:val="40"/>
        </w:rPr>
      </w:pPr>
      <w:r>
        <w:rPr>
          <w:rFonts w:hint="eastAsia" w:ascii="仿宋" w:hAnsi="仿宋" w:eastAsia="仿宋" w:cs="仿宋"/>
          <w:kern w:val="0"/>
          <w:sz w:val="32"/>
          <w:szCs w:val="32"/>
          <w:lang w:bidi="ar"/>
        </w:rPr>
        <w:t>银行账号：551904308510501</w:t>
      </w:r>
    </w:p>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573217B-FE6E-4575-837F-17CEC7F0D45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53EAB0BA-D4E0-42F1-B4D8-6E8FD6D0FDE6}"/>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3" w:fontKey="{BE42ADEF-A09C-4EC0-8E77-06D1CB5C2CD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5MDBiZDExMWJkMjU5MjI4YjlkNDE2ZWFkYzAzNTUifQ=="/>
  </w:docVars>
  <w:rsids>
    <w:rsidRoot w:val="541B5999"/>
    <w:rsid w:val="00037AE2"/>
    <w:rsid w:val="000A616F"/>
    <w:rsid w:val="00111B02"/>
    <w:rsid w:val="00162875"/>
    <w:rsid w:val="001A6BA0"/>
    <w:rsid w:val="002C0A14"/>
    <w:rsid w:val="008F0143"/>
    <w:rsid w:val="00CB34AD"/>
    <w:rsid w:val="042B06B8"/>
    <w:rsid w:val="0BC07FC8"/>
    <w:rsid w:val="0D007140"/>
    <w:rsid w:val="10262A48"/>
    <w:rsid w:val="1E745DF8"/>
    <w:rsid w:val="29774DF2"/>
    <w:rsid w:val="2AB56C65"/>
    <w:rsid w:val="2BB5790B"/>
    <w:rsid w:val="2F21497B"/>
    <w:rsid w:val="2F241E6D"/>
    <w:rsid w:val="30862DD1"/>
    <w:rsid w:val="343B25C7"/>
    <w:rsid w:val="4FDC0E2D"/>
    <w:rsid w:val="50127130"/>
    <w:rsid w:val="541B5999"/>
    <w:rsid w:val="54DF6457"/>
    <w:rsid w:val="5B2F0733"/>
    <w:rsid w:val="619F774C"/>
    <w:rsid w:val="685B32EF"/>
    <w:rsid w:val="72332081"/>
    <w:rsid w:val="7A2A7CB0"/>
    <w:rsid w:val="7EB929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Title"/>
    <w:basedOn w:val="1"/>
    <w:next w:val="1"/>
    <w:autoRedefine/>
    <w:qFormat/>
    <w:uiPriority w:val="0"/>
    <w:pPr>
      <w:spacing w:before="240" w:after="60"/>
      <w:jc w:val="center"/>
      <w:outlineLvl w:val="0"/>
    </w:pPr>
    <w:rPr>
      <w:rFonts w:eastAsia="宋体" w:asciiTheme="majorHAnsi" w:hAnsiTheme="majorHAnsi" w:cstheme="majorBidi"/>
      <w:b/>
      <w:bCs/>
      <w:szCs w:val="32"/>
    </w:rPr>
  </w:style>
  <w:style w:type="paragraph" w:styleId="3">
    <w:name w:val="Body Text"/>
    <w:basedOn w:val="1"/>
    <w:next w:val="1"/>
    <w:autoRedefine/>
    <w:qFormat/>
    <w:uiPriority w:val="99"/>
    <w:pPr>
      <w:spacing w:before="120"/>
      <w:jc w:val="center"/>
    </w:pPr>
    <w:rPr>
      <w:rFonts w:ascii="宋体" w:hAnsi="宋体"/>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autoRedefine/>
    <w:unhideWhenUsed/>
    <w:qFormat/>
    <w:uiPriority w:val="99"/>
    <w:pPr>
      <w:ind w:firstLine="420" w:firstLineChars="100"/>
    </w:p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Char2"/>
    <w:basedOn w:val="1"/>
    <w:qFormat/>
    <w:uiPriority w:val="0"/>
  </w:style>
  <w:style w:type="paragraph" w:customStyle="1" w:styleId="11">
    <w:name w:val="Table Paragraph"/>
    <w:basedOn w:val="1"/>
    <w:autoRedefine/>
    <w:qFormat/>
    <w:uiPriority w:val="1"/>
    <w:rPr>
      <w:rFonts w:ascii="宋体" w:hAnsi="宋体" w:eastAsia="宋体" w:cs="宋体"/>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454</Words>
  <Characters>617</Characters>
  <Lines>13</Lines>
  <Paragraphs>3</Paragraphs>
  <TotalTime>3</TotalTime>
  <ScaleCrop>false</ScaleCrop>
  <LinksUpToDate>false</LinksUpToDate>
  <CharactersWithSpaces>617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2022-09-01T08:34:00Z</dcterms:created>
  <dc:creator>安天利信王书恒</dc:creator>
  <cp:lastModifiedBy>方娇娇</cp:lastModifiedBy>
  <dcterms:modified xsi:type="dcterms:W3CDTF">2024-05-24T03:07:44Z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8C1244EAFB2E4357AC4D7DEC129D881D_13</vt:lpwstr>
  </property>
</Properties>
</file>