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宋体" w:cs="Times New Roman"/>
          <w:kern w:val="0"/>
          <w:sz w:val="36"/>
          <w:szCs w:val="36"/>
        </w:rPr>
      </w:pPr>
    </w:p>
    <w:p>
      <w:pPr>
        <w:pStyle w:val="2"/>
        <w:ind w:left="1260"/>
      </w:pPr>
    </w:p>
    <w:p/>
    <w:p>
      <w:pPr>
        <w:pStyle w:val="2"/>
        <w:ind w:left="1260"/>
      </w:pPr>
    </w:p>
    <w:p/>
    <w:p>
      <w:pPr>
        <w:pStyle w:val="2"/>
        <w:ind w:left="1260"/>
      </w:pPr>
    </w:p>
    <w:p/>
    <w:p>
      <w:pPr>
        <w:jc w:val="center"/>
        <w:rPr>
          <w:rFonts w:ascii="Times New Roman" w:hAnsi="Times New Roman" w:eastAsia="方正小标宋简体" w:cs="Times New Roman"/>
          <w:kern w:val="0"/>
          <w:sz w:val="84"/>
          <w:szCs w:val="84"/>
        </w:rPr>
      </w:pPr>
      <w:r>
        <w:rPr>
          <w:rFonts w:hint="eastAsia" w:ascii="Times New Roman" w:hAnsi="Times New Roman" w:eastAsia="方正小标宋简体" w:cs="Times New Roman"/>
          <w:kern w:val="0"/>
          <w:sz w:val="84"/>
          <w:szCs w:val="84"/>
        </w:rPr>
        <w:t>竞争性谈判</w:t>
      </w:r>
      <w:r>
        <w:rPr>
          <w:rFonts w:ascii="Times New Roman" w:hAnsi="Times New Roman" w:eastAsia="方正小标宋简体" w:cs="Times New Roman"/>
          <w:kern w:val="0"/>
          <w:sz w:val="84"/>
          <w:szCs w:val="84"/>
        </w:rPr>
        <w:t>文件</w:t>
      </w:r>
    </w:p>
    <w:p>
      <w:pPr>
        <w:rPr>
          <w:rFonts w:ascii="Times New Roman" w:hAnsi="Times New Roman" w:eastAsia="华文中宋" w:cs="Times New Roman"/>
          <w:kern w:val="0"/>
          <w:sz w:val="36"/>
          <w:szCs w:val="36"/>
        </w:rPr>
      </w:pPr>
    </w:p>
    <w:p>
      <w:pPr>
        <w:rPr>
          <w:rFonts w:ascii="Times New Roman" w:hAnsi="Times New Roman" w:eastAsia="华文中宋" w:cs="Times New Roman"/>
          <w:kern w:val="0"/>
          <w:sz w:val="36"/>
          <w:szCs w:val="36"/>
        </w:rPr>
      </w:pPr>
    </w:p>
    <w:p>
      <w:pPr>
        <w:pStyle w:val="2"/>
        <w:ind w:left="1260"/>
      </w:pPr>
    </w:p>
    <w:p>
      <w:pPr>
        <w:rPr>
          <w:rFonts w:ascii="Times New Roman" w:hAnsi="Times New Roman" w:eastAsia="华文中宋" w:cs="Times New Roman"/>
          <w:kern w:val="0"/>
          <w:sz w:val="36"/>
          <w:szCs w:val="36"/>
        </w:rPr>
      </w:pPr>
    </w:p>
    <w:p>
      <w:pPr>
        <w:tabs>
          <w:tab w:val="left" w:pos="900"/>
        </w:tabs>
        <w:snapToGrid w:val="0"/>
        <w:spacing w:line="360" w:lineRule="auto"/>
        <w:ind w:left="2240" w:leftChars="400" w:hanging="1400" w:hangingChars="500"/>
        <w:jc w:val="left"/>
        <w:rPr>
          <w:rFonts w:ascii="宋体" w:hAnsi="宋体" w:eastAsia="宋体" w:cs="Times New Roman"/>
          <w:kern w:val="0"/>
          <w:sz w:val="28"/>
          <w:szCs w:val="28"/>
          <w:u w:val="single"/>
        </w:rPr>
      </w:pPr>
      <w:r>
        <w:rPr>
          <w:rFonts w:hint="eastAsia" w:ascii="宋体" w:hAnsi="宋体" w:eastAsia="宋体" w:cs="Times New Roman"/>
          <w:kern w:val="0"/>
          <w:sz w:val="28"/>
          <w:szCs w:val="28"/>
        </w:rPr>
        <w:t>项目名称：</w:t>
      </w:r>
      <w:r>
        <w:rPr>
          <w:rFonts w:hint="eastAsia" w:ascii="宋体" w:hAnsi="宋体" w:eastAsia="宋体" w:cs="Times New Roman"/>
          <w:kern w:val="0"/>
          <w:sz w:val="28"/>
          <w:szCs w:val="28"/>
          <w:u w:val="single"/>
        </w:rPr>
        <w:t xml:space="preserve">安徽省永丰粮食购销有限公司2.5万吨粮食仓储设施项目环流熏蒸、低温空调设备采购及安装工程 </w:t>
      </w:r>
    </w:p>
    <w:p>
      <w:pPr>
        <w:pStyle w:val="49"/>
        <w:spacing w:line="360" w:lineRule="auto"/>
        <w:ind w:firstLine="1120" w:firstLineChars="400"/>
        <w:rPr>
          <w:rFonts w:ascii="宋体" w:hAnsi="宋体" w:eastAsia="宋体" w:cs="Times New Roman"/>
          <w:kern w:val="0"/>
          <w:sz w:val="28"/>
          <w:szCs w:val="28"/>
        </w:rPr>
      </w:pPr>
      <w:r>
        <w:rPr>
          <w:rFonts w:hint="eastAsia" w:ascii="宋体" w:hAnsi="宋体" w:eastAsia="宋体" w:cs="Times New Roman"/>
          <w:kern w:val="0"/>
          <w:sz w:val="28"/>
          <w:szCs w:val="28"/>
        </w:rPr>
        <w:t>项目编号：</w:t>
      </w:r>
      <w:r>
        <w:rPr>
          <w:rFonts w:hint="eastAsia" w:ascii="宋体" w:hAnsi="宋体" w:eastAsia="宋体" w:cs="Times New Roman"/>
          <w:kern w:val="0"/>
          <w:sz w:val="28"/>
          <w:szCs w:val="28"/>
          <w:u w:val="single"/>
        </w:rPr>
        <w:t xml:space="preserve">RG </w:t>
      </w:r>
      <w:r>
        <w:rPr>
          <w:rFonts w:ascii="宋体" w:hAnsi="宋体" w:eastAsia="宋体" w:cs="Times New Roman"/>
          <w:kern w:val="0"/>
          <w:sz w:val="28"/>
          <w:szCs w:val="28"/>
          <w:u w:val="single"/>
        </w:rPr>
        <w:t>202</w:t>
      </w:r>
      <w:r>
        <w:rPr>
          <w:rFonts w:hint="eastAsia" w:ascii="宋体" w:hAnsi="宋体" w:eastAsia="宋体" w:cs="Times New Roman"/>
          <w:kern w:val="0"/>
          <w:sz w:val="28"/>
          <w:szCs w:val="28"/>
          <w:u w:val="single"/>
        </w:rPr>
        <w:t>1</w:t>
      </w:r>
      <w:r>
        <w:rPr>
          <w:rFonts w:ascii="宋体" w:hAnsi="宋体" w:eastAsia="宋体" w:cs="Times New Roman"/>
          <w:kern w:val="0"/>
          <w:sz w:val="28"/>
          <w:szCs w:val="28"/>
          <w:u w:val="single"/>
        </w:rPr>
        <w:t>-</w:t>
      </w:r>
      <w:r>
        <w:rPr>
          <w:rFonts w:hint="eastAsia" w:ascii="宋体" w:hAnsi="宋体" w:eastAsia="宋体" w:cs="Times New Roman"/>
          <w:kern w:val="0"/>
          <w:sz w:val="28"/>
          <w:szCs w:val="28"/>
          <w:u w:val="single"/>
        </w:rPr>
        <w:t>1002</w:t>
      </w:r>
    </w:p>
    <w:p>
      <w:pPr>
        <w:ind w:firstLine="2160" w:firstLineChars="600"/>
        <w:rPr>
          <w:rFonts w:ascii="宋体" w:hAnsi="宋体" w:eastAsia="宋体" w:cs="Times New Roman"/>
          <w:kern w:val="0"/>
          <w:sz w:val="36"/>
          <w:szCs w:val="36"/>
        </w:rPr>
      </w:pPr>
    </w:p>
    <w:p>
      <w:pPr>
        <w:rPr>
          <w:rFonts w:ascii="Times New Roman" w:hAnsi="Times New Roman" w:eastAsia="华文中宋" w:cs="Times New Roman"/>
          <w:kern w:val="0"/>
          <w:sz w:val="36"/>
          <w:szCs w:val="36"/>
        </w:rPr>
      </w:pPr>
    </w:p>
    <w:p>
      <w:pPr>
        <w:pStyle w:val="2"/>
        <w:ind w:left="1260"/>
      </w:pPr>
    </w:p>
    <w:p/>
    <w:p>
      <w:pPr>
        <w:pStyle w:val="2"/>
        <w:ind w:left="1260"/>
      </w:pPr>
    </w:p>
    <w:p/>
    <w:p>
      <w:pPr>
        <w:pStyle w:val="2"/>
        <w:ind w:left="1260"/>
      </w:pPr>
    </w:p>
    <w:p/>
    <w:p>
      <w:pPr>
        <w:pStyle w:val="2"/>
        <w:ind w:left="1260"/>
      </w:pPr>
    </w:p>
    <w:p>
      <w:pPr>
        <w:rPr>
          <w:rFonts w:ascii="Times New Roman" w:hAnsi="Times New Roman" w:eastAsia="华文中宋" w:cs="Times New Roman"/>
          <w:kern w:val="0"/>
          <w:sz w:val="36"/>
          <w:szCs w:val="36"/>
        </w:rPr>
      </w:pPr>
    </w:p>
    <w:p>
      <w:pPr>
        <w:ind w:firstLine="1120" w:firstLineChars="400"/>
        <w:rPr>
          <w:rFonts w:ascii="宋体" w:hAnsi="宋体" w:eastAsia="宋体" w:cs="Times New Roman"/>
          <w:color w:val="FF0000"/>
          <w:kern w:val="0"/>
          <w:sz w:val="28"/>
          <w:szCs w:val="28"/>
          <w:u w:val="single"/>
        </w:rPr>
      </w:pPr>
      <w:r>
        <w:rPr>
          <w:rFonts w:hint="eastAsia" w:ascii="宋体" w:hAnsi="宋体" w:eastAsia="宋体" w:cs="Times New Roman"/>
          <w:kern w:val="0"/>
          <w:sz w:val="28"/>
          <w:szCs w:val="28"/>
        </w:rPr>
        <w:t>采   购   人：</w:t>
      </w:r>
      <w:r>
        <w:rPr>
          <w:rFonts w:hint="eastAsia" w:ascii="宋体" w:hAnsi="宋体" w:eastAsia="宋体" w:cs="Times New Roman"/>
          <w:kern w:val="0"/>
          <w:sz w:val="28"/>
          <w:szCs w:val="28"/>
          <w:u w:val="single"/>
        </w:rPr>
        <w:t>安徽省永丰粮食购销有限公司（盖章）</w:t>
      </w:r>
    </w:p>
    <w:p>
      <w:pPr>
        <w:jc w:val="center"/>
        <w:rPr>
          <w:rFonts w:ascii="宋体" w:hAnsi="宋体" w:eastAsia="宋体" w:cs="Times New Roman"/>
          <w:kern w:val="0"/>
          <w:sz w:val="36"/>
          <w:szCs w:val="36"/>
        </w:rPr>
      </w:pPr>
    </w:p>
    <w:p>
      <w:pPr>
        <w:snapToGrid w:val="0"/>
        <w:spacing w:line="360" w:lineRule="auto"/>
        <w:ind w:firstLine="1120" w:firstLineChars="400"/>
        <w:rPr>
          <w:rFonts w:ascii="宋体" w:hAnsi="宋体" w:cs="宋体"/>
          <w:sz w:val="30"/>
          <w:szCs w:val="30"/>
        </w:rPr>
      </w:pPr>
      <w:r>
        <w:rPr>
          <w:rFonts w:hint="eastAsia" w:ascii="宋体" w:hAnsi="宋体" w:eastAsia="宋体" w:cs="Times New Roman"/>
          <w:kern w:val="0"/>
          <w:sz w:val="28"/>
          <w:szCs w:val="28"/>
        </w:rPr>
        <w:t>采购代理机构：</w:t>
      </w:r>
      <w:r>
        <w:rPr>
          <w:rFonts w:hint="eastAsia" w:ascii="宋体" w:hAnsi="宋体" w:eastAsia="宋体" w:cs="Times New Roman"/>
          <w:kern w:val="0"/>
          <w:sz w:val="28"/>
          <w:szCs w:val="28"/>
          <w:u w:val="single"/>
        </w:rPr>
        <w:t>合肥容公工程咨询有限公司</w:t>
      </w:r>
      <w:r>
        <w:rPr>
          <w:rFonts w:hint="eastAsia" w:ascii="宋体" w:hAnsi="宋体" w:eastAsia="宋体" w:cs="Times New Roman"/>
          <w:kern w:val="0"/>
          <w:sz w:val="28"/>
          <w:szCs w:val="28"/>
        </w:rPr>
        <w:t>（盖章）</w:t>
      </w:r>
    </w:p>
    <w:p>
      <w:pPr>
        <w:rPr>
          <w:rFonts w:ascii="宋体" w:hAnsi="宋体" w:eastAsia="宋体" w:cs="Times New Roman"/>
          <w:bCs/>
          <w:spacing w:val="-26"/>
          <w:kern w:val="0"/>
          <w:sz w:val="36"/>
          <w:szCs w:val="36"/>
        </w:rPr>
      </w:pPr>
    </w:p>
    <w:p>
      <w:pPr>
        <w:jc w:val="center"/>
        <w:rPr>
          <w:rFonts w:ascii="宋体" w:hAnsi="宋体" w:eastAsia="宋体" w:cs="Times New Roman"/>
          <w:b/>
          <w:kern w:val="0"/>
          <w:sz w:val="28"/>
          <w:szCs w:val="28"/>
        </w:rPr>
      </w:pPr>
      <w:r>
        <w:rPr>
          <w:rFonts w:ascii="宋体" w:hAnsi="宋体" w:eastAsia="宋体" w:cs="Times New Roman"/>
          <w:b/>
          <w:kern w:val="0"/>
          <w:sz w:val="28"/>
          <w:szCs w:val="28"/>
        </w:rPr>
        <w:t>二〇二一年</w:t>
      </w:r>
      <w:r>
        <w:rPr>
          <w:rFonts w:hint="eastAsia" w:ascii="宋体" w:hAnsi="宋体" w:eastAsia="宋体" w:cs="Times New Roman"/>
          <w:b/>
          <w:kern w:val="0"/>
          <w:sz w:val="28"/>
          <w:szCs w:val="28"/>
        </w:rPr>
        <w:t>十月三十日</w:t>
      </w:r>
    </w:p>
    <w:p>
      <w:pPr>
        <w:rPr>
          <w:rFonts w:ascii="Times New Roman" w:hAnsi="Times New Roman" w:eastAsia="方正小标宋简体" w:cs="Times New Roman"/>
          <w:bCs/>
          <w:kern w:val="0"/>
          <w:sz w:val="32"/>
          <w:szCs w:val="32"/>
        </w:rPr>
      </w:pPr>
      <w:r>
        <w:rPr>
          <w:rFonts w:ascii="Times New Roman" w:hAnsi="Times New Roman" w:eastAsia="方正小标宋简体" w:cs="Times New Roman"/>
          <w:bCs/>
          <w:kern w:val="0"/>
          <w:sz w:val="32"/>
          <w:szCs w:val="32"/>
        </w:rPr>
        <w:br w:type="page"/>
      </w:r>
    </w:p>
    <w:p>
      <w:pPr>
        <w:spacing w:line="360" w:lineRule="auto"/>
        <w:jc w:val="center"/>
        <w:rPr>
          <w:rFonts w:ascii="Times New Roman" w:hAnsi="Times New Roman" w:eastAsia="方正小标宋简体" w:cs="Times New Roman"/>
          <w:bCs/>
          <w:kern w:val="0"/>
          <w:sz w:val="32"/>
          <w:szCs w:val="32"/>
        </w:rPr>
      </w:pPr>
      <w:r>
        <w:rPr>
          <w:rFonts w:ascii="Times New Roman" w:hAnsi="Times New Roman" w:eastAsia="方正小标宋简体" w:cs="Times New Roman"/>
          <w:bCs/>
          <w:kern w:val="0"/>
          <w:sz w:val="32"/>
          <w:szCs w:val="32"/>
        </w:rPr>
        <w:t>特别提示：注意事项</w:t>
      </w:r>
    </w:p>
    <w:p>
      <w:pPr>
        <w:widowControl/>
        <w:spacing w:line="360" w:lineRule="auto"/>
        <w:ind w:firstLine="480" w:firstLineChars="200"/>
        <w:rPr>
          <w:rFonts w:cs="Times New Roman" w:asciiTheme="minorEastAsia" w:hAnsiTheme="minorEastAsia"/>
          <w:kern w:val="0"/>
          <w:sz w:val="24"/>
          <w:szCs w:val="24"/>
          <w:u w:color="000000"/>
        </w:rPr>
      </w:pPr>
      <w:r>
        <w:rPr>
          <w:rFonts w:hint="eastAsia" w:cs="Times New Roman" w:asciiTheme="minorEastAsia" w:hAnsiTheme="minorEastAsia"/>
          <w:kern w:val="0"/>
          <w:sz w:val="24"/>
          <w:szCs w:val="24"/>
          <w:u w:color="000000"/>
        </w:rPr>
        <w:t>一、供应商应特别留意谈判文件上载明的谈判开始截止时间，提前或逾期送达（含邮寄送达）的响应文件概不接受。</w:t>
      </w:r>
    </w:p>
    <w:p>
      <w:pPr>
        <w:widowControl/>
        <w:spacing w:line="360" w:lineRule="auto"/>
        <w:ind w:firstLine="480" w:firstLineChars="200"/>
        <w:rPr>
          <w:rFonts w:cs="Times New Roman" w:asciiTheme="minorEastAsia" w:hAnsiTheme="minorEastAsia"/>
          <w:snapToGrid w:val="0"/>
          <w:kern w:val="0"/>
          <w:sz w:val="24"/>
          <w:szCs w:val="24"/>
          <w:u w:color="000000"/>
        </w:rPr>
      </w:pPr>
      <w:r>
        <w:rPr>
          <w:rFonts w:hint="eastAsia" w:cs="Times New Roman" w:asciiTheme="minorEastAsia" w:hAnsiTheme="minorEastAsia"/>
          <w:kern w:val="0"/>
          <w:sz w:val="24"/>
          <w:szCs w:val="24"/>
          <w:u w:color="000000"/>
        </w:rPr>
        <w:t>二、</w:t>
      </w:r>
      <w:r>
        <w:rPr>
          <w:rFonts w:hint="eastAsia" w:cs="Times New Roman" w:asciiTheme="minorEastAsia" w:hAnsiTheme="minorEastAsia"/>
          <w:color w:val="000000"/>
          <w:kern w:val="0"/>
          <w:sz w:val="24"/>
          <w:szCs w:val="24"/>
          <w:u w:color="000000"/>
        </w:rPr>
        <w:t>供应商须交纳谈判保证金</w:t>
      </w:r>
      <w:r>
        <w:rPr>
          <w:rFonts w:hint="eastAsia" w:cs="Times New Roman" w:asciiTheme="minorEastAsia" w:hAnsiTheme="minorEastAsia"/>
          <w:kern w:val="0"/>
          <w:sz w:val="24"/>
          <w:szCs w:val="24"/>
          <w:u w:color="000000"/>
        </w:rPr>
        <w:t>，保证金</w:t>
      </w:r>
      <w:r>
        <w:rPr>
          <w:rFonts w:hint="eastAsia" w:cs="Times New Roman" w:asciiTheme="minorEastAsia" w:hAnsiTheme="minorEastAsia"/>
          <w:snapToGrid w:val="0"/>
          <w:kern w:val="0"/>
          <w:sz w:val="24"/>
          <w:szCs w:val="24"/>
          <w:u w:color="000000"/>
        </w:rPr>
        <w:t>应在投标截止时间前以非现金形式提交。未按规定提交保证金的，投标无效。</w:t>
      </w:r>
    </w:p>
    <w:p>
      <w:pPr>
        <w:widowControl/>
        <w:spacing w:line="360" w:lineRule="auto"/>
        <w:ind w:firstLine="480" w:firstLineChars="200"/>
        <w:rPr>
          <w:rFonts w:cs="Times New Roman" w:asciiTheme="minorEastAsia" w:hAnsiTheme="minorEastAsia"/>
          <w:kern w:val="0"/>
          <w:sz w:val="24"/>
          <w:szCs w:val="24"/>
          <w:u w:color="000000"/>
        </w:rPr>
      </w:pPr>
      <w:r>
        <w:rPr>
          <w:rFonts w:hint="eastAsia" w:cs="Times New Roman" w:asciiTheme="minorEastAsia" w:hAnsiTheme="minorEastAsia"/>
          <w:snapToGrid w:val="0"/>
          <w:kern w:val="0"/>
          <w:sz w:val="24"/>
          <w:szCs w:val="24"/>
          <w:u w:color="000000"/>
        </w:rPr>
        <w:t>三、</w:t>
      </w:r>
      <w:r>
        <w:rPr>
          <w:rFonts w:hint="eastAsia" w:cs="Times New Roman" w:asciiTheme="minorEastAsia" w:hAnsiTheme="minorEastAsia"/>
          <w:kern w:val="0"/>
          <w:sz w:val="24"/>
          <w:szCs w:val="24"/>
          <w:u w:color="000000"/>
        </w:rPr>
        <w:t>请仔细检查谈判文件要求提交的相关证书的有效期和审核信息。</w:t>
      </w:r>
    </w:p>
    <w:p>
      <w:pPr>
        <w:widowControl/>
        <w:spacing w:line="360" w:lineRule="auto"/>
        <w:ind w:firstLine="480" w:firstLineChars="200"/>
        <w:rPr>
          <w:rFonts w:cs="Times New Roman" w:asciiTheme="minorEastAsia" w:hAnsiTheme="minorEastAsia"/>
          <w:kern w:val="0"/>
          <w:sz w:val="24"/>
          <w:szCs w:val="24"/>
          <w:u w:color="000000"/>
        </w:rPr>
      </w:pPr>
      <w:r>
        <w:rPr>
          <w:rFonts w:hint="eastAsia" w:cs="Times New Roman" w:asciiTheme="minorEastAsia" w:hAnsiTheme="minorEastAsia"/>
          <w:kern w:val="0"/>
          <w:sz w:val="24"/>
          <w:szCs w:val="24"/>
          <w:u w:color="000000"/>
        </w:rPr>
        <w:t>四、</w:t>
      </w:r>
      <w:r>
        <w:rPr>
          <w:rFonts w:hint="eastAsia" w:asciiTheme="minorEastAsia" w:hAnsiTheme="minorEastAsia"/>
          <w:kern w:val="0"/>
          <w:sz w:val="24"/>
          <w:szCs w:val="24"/>
        </w:rPr>
        <w:t>请仔细检查响应文件是否按要求盖单位公章、签名、签署日期、胶装成册、密封，响应文件需签名之处必须由当事人签署，否则可能会被视为无效投标</w:t>
      </w:r>
      <w:r>
        <w:rPr>
          <w:rFonts w:hint="eastAsia" w:cs="Times New Roman" w:asciiTheme="minorEastAsia" w:hAnsiTheme="minorEastAsia"/>
          <w:kern w:val="0"/>
          <w:sz w:val="24"/>
          <w:szCs w:val="24"/>
          <w:u w:color="000000"/>
        </w:rPr>
        <w:t>。</w:t>
      </w:r>
    </w:p>
    <w:p>
      <w:pPr>
        <w:widowControl/>
        <w:spacing w:line="360" w:lineRule="auto"/>
        <w:ind w:firstLine="480" w:firstLineChars="200"/>
        <w:rPr>
          <w:rFonts w:asciiTheme="minorEastAsia" w:hAnsiTheme="minorEastAsia"/>
          <w:kern w:val="0"/>
          <w:sz w:val="24"/>
          <w:szCs w:val="24"/>
        </w:rPr>
      </w:pPr>
      <w:r>
        <w:rPr>
          <w:rFonts w:hint="eastAsia" w:asciiTheme="minorEastAsia" w:hAnsiTheme="minorEastAsia"/>
          <w:kern w:val="0"/>
          <w:sz w:val="24"/>
          <w:szCs w:val="24"/>
        </w:rPr>
        <w:t>五、对于带★的技术要求部分，供应商如实提供其响应文件中所提供第三方证明材料：证书、彩页、等的复印件加盖（厂家）公章。</w:t>
      </w:r>
    </w:p>
    <w:p>
      <w:pPr>
        <w:widowControl/>
        <w:spacing w:line="360" w:lineRule="auto"/>
        <w:ind w:firstLine="480" w:firstLineChars="200"/>
        <w:rPr>
          <w:rFonts w:cs="Times New Roman" w:asciiTheme="minorEastAsia" w:hAnsiTheme="minorEastAsia"/>
          <w:kern w:val="0"/>
          <w:sz w:val="24"/>
          <w:szCs w:val="24"/>
          <w:u w:color="000000"/>
        </w:rPr>
      </w:pPr>
      <w:r>
        <w:rPr>
          <w:rFonts w:hint="eastAsia" w:cs="Times New Roman" w:asciiTheme="minorEastAsia" w:hAnsiTheme="minorEastAsia"/>
          <w:kern w:val="0"/>
          <w:sz w:val="24"/>
          <w:szCs w:val="24"/>
          <w:u w:color="000000"/>
        </w:rPr>
        <w:t>六、《价格文件》一式三份，单独装订，密封在一个信封内，在信封表面标明“价格文件”“开标时启封”字样，注明“供应商名称”“项目名称”“项目编号”“包号”等信息，投标时单独递交。供应商如未按上述要求单独递交《价格文件》，其投标有可能被拒绝。</w:t>
      </w:r>
    </w:p>
    <w:p>
      <w:pPr>
        <w:widowControl/>
        <w:spacing w:line="360" w:lineRule="auto"/>
        <w:ind w:firstLine="480" w:firstLineChars="200"/>
        <w:rPr>
          <w:rFonts w:cs="Times New Roman" w:asciiTheme="minorEastAsia" w:hAnsiTheme="minorEastAsia"/>
          <w:kern w:val="0"/>
          <w:sz w:val="24"/>
          <w:szCs w:val="24"/>
          <w:u w:color="000000"/>
        </w:rPr>
      </w:pPr>
      <w:r>
        <w:rPr>
          <w:rFonts w:hint="eastAsia" w:cs="Times New Roman" w:asciiTheme="minorEastAsia" w:hAnsiTheme="minorEastAsia"/>
          <w:kern w:val="0"/>
          <w:sz w:val="24"/>
          <w:szCs w:val="24"/>
          <w:u w:color="000000"/>
        </w:rPr>
        <w:t>七、响应文件中除《价格文件》外，其他部分不得有任何涉及本次投标报价的信息，否则视为无效投标。</w:t>
      </w:r>
    </w:p>
    <w:p>
      <w:pPr>
        <w:widowControl/>
        <w:spacing w:line="360" w:lineRule="auto"/>
        <w:ind w:firstLine="480" w:firstLineChars="200"/>
        <w:rPr>
          <w:rFonts w:cs="Times New Roman" w:asciiTheme="minorEastAsia" w:hAnsiTheme="minorEastAsia"/>
          <w:kern w:val="0"/>
          <w:sz w:val="24"/>
          <w:szCs w:val="24"/>
          <w:u w:color="000000"/>
        </w:rPr>
      </w:pPr>
      <w:r>
        <w:rPr>
          <w:rFonts w:hint="eastAsia" w:cs="Times New Roman" w:asciiTheme="minorEastAsia" w:hAnsiTheme="minorEastAsia"/>
          <w:kern w:val="0"/>
          <w:sz w:val="24"/>
          <w:szCs w:val="24"/>
          <w:u w:color="000000"/>
        </w:rPr>
        <w:t>八、采用综合评分法和性价比法评审时，供应商编制响应文件，应按照谈判文件第五部分附件</w:t>
      </w:r>
      <w:r>
        <w:rPr>
          <w:rFonts w:cs="Times New Roman" w:asciiTheme="minorEastAsia" w:hAnsiTheme="minorEastAsia"/>
          <w:kern w:val="0"/>
          <w:sz w:val="24"/>
          <w:szCs w:val="24"/>
          <w:u w:color="000000"/>
        </w:rPr>
        <w:t>17</w:t>
      </w:r>
      <w:r>
        <w:rPr>
          <w:rFonts w:hint="eastAsia" w:cs="Times New Roman" w:asciiTheme="minorEastAsia" w:hAnsiTheme="minorEastAsia"/>
          <w:kern w:val="0"/>
          <w:sz w:val="24"/>
          <w:szCs w:val="24"/>
          <w:u w:color="000000"/>
        </w:rPr>
        <w:t>、</w:t>
      </w:r>
      <w:r>
        <w:rPr>
          <w:rFonts w:cs="Times New Roman" w:asciiTheme="minorEastAsia" w:hAnsiTheme="minorEastAsia"/>
          <w:kern w:val="0"/>
          <w:sz w:val="24"/>
          <w:szCs w:val="24"/>
          <w:u w:color="000000"/>
        </w:rPr>
        <w:t>18</w:t>
      </w:r>
      <w:r>
        <w:rPr>
          <w:rFonts w:hint="eastAsia" w:cs="Times New Roman" w:asciiTheme="minorEastAsia" w:hAnsiTheme="minorEastAsia"/>
          <w:kern w:val="0"/>
          <w:sz w:val="24"/>
          <w:szCs w:val="24"/>
          <w:u w:color="000000"/>
        </w:rPr>
        <w:t>表格要求，填写指标值或评分项及其在响应文件位置页码；评审时评委依据响应文件，对供应商填写的内容进行审核确认，评审系统按照评委确认的信息自动评分。</w:t>
      </w:r>
    </w:p>
    <w:p>
      <w:pPr>
        <w:widowControl/>
        <w:spacing w:line="360" w:lineRule="auto"/>
        <w:ind w:firstLine="480" w:firstLineChars="200"/>
        <w:rPr>
          <w:rFonts w:cs="Times New Roman" w:asciiTheme="minorEastAsia" w:hAnsiTheme="minorEastAsia"/>
          <w:kern w:val="0"/>
          <w:sz w:val="24"/>
          <w:szCs w:val="24"/>
          <w:u w:color="000000"/>
        </w:rPr>
      </w:pPr>
      <w:r>
        <w:rPr>
          <w:rFonts w:hint="eastAsia" w:cs="Times New Roman" w:asciiTheme="minorEastAsia" w:hAnsiTheme="minorEastAsia"/>
          <w:kern w:val="0"/>
          <w:sz w:val="24"/>
          <w:szCs w:val="24"/>
          <w:u w:color="000000"/>
        </w:rPr>
        <w:t>九、供应商发现购买谈判文件时提交的相关资料被盗用或复制，应遵循法律途径解决，追究侵权者责任。</w:t>
      </w:r>
    </w:p>
    <w:p>
      <w:pPr>
        <w:spacing w:line="360" w:lineRule="auto"/>
        <w:jc w:val="center"/>
        <w:rPr>
          <w:rFonts w:ascii="方正小标宋简体" w:hAnsi="Times New Roman" w:eastAsia="方正小标宋简体" w:cs="Times New Roman"/>
          <w:kern w:val="0"/>
          <w:sz w:val="32"/>
          <w:szCs w:val="32"/>
        </w:rPr>
      </w:pPr>
      <w:r>
        <w:rPr>
          <w:rFonts w:hint="eastAsia" w:ascii="方正小标宋简体" w:hAnsi="Times New Roman" w:eastAsia="方正小标宋简体" w:cs="Times New Roman"/>
          <w:kern w:val="0"/>
          <w:sz w:val="44"/>
          <w:szCs w:val="44"/>
        </w:rPr>
        <w:br w:type="page"/>
      </w:r>
      <w:r>
        <w:rPr>
          <w:rFonts w:hint="eastAsia" w:ascii="方正小标宋简体" w:hAnsi="Times New Roman" w:eastAsia="方正小标宋简体" w:cs="Times New Roman"/>
          <w:kern w:val="0"/>
          <w:sz w:val="32"/>
          <w:szCs w:val="32"/>
        </w:rPr>
        <w:t>目 录</w:t>
      </w:r>
    </w:p>
    <w:p>
      <w:pPr>
        <w:rPr>
          <w:rFonts w:ascii="Times New Roman" w:hAnsi="Times New Roman" w:eastAsia="宋体" w:cs="Times New Roman"/>
          <w:kern w:val="0"/>
          <w:sz w:val="36"/>
          <w:szCs w:val="36"/>
        </w:rPr>
      </w:pPr>
    </w:p>
    <w:p>
      <w:pPr>
        <w:jc w:val="distribute"/>
        <w:rPr>
          <w:rFonts w:cs="Times New Roman" w:asciiTheme="minorEastAsia" w:hAnsiTheme="minorEastAsia"/>
          <w:kern w:val="0"/>
          <w:sz w:val="28"/>
          <w:szCs w:val="28"/>
        </w:rPr>
      </w:pPr>
      <w:r>
        <w:rPr>
          <w:rFonts w:hint="eastAsia" w:cs="Times New Roman" w:asciiTheme="minorEastAsia" w:hAnsiTheme="minorEastAsia"/>
          <w:kern w:val="0"/>
          <w:sz w:val="28"/>
          <w:szCs w:val="28"/>
        </w:rPr>
        <w:t>第一部分谈判公告………………………………………………</w:t>
      </w:r>
      <w:r>
        <w:rPr>
          <w:rFonts w:hint="eastAsia" w:cs="Times New Roman" w:asciiTheme="minorEastAsia" w:hAnsiTheme="minorEastAsia"/>
          <w:color w:val="FF0000"/>
          <w:kern w:val="0"/>
          <w:sz w:val="28"/>
          <w:szCs w:val="28"/>
        </w:rPr>
        <w:t>4</w:t>
      </w:r>
    </w:p>
    <w:p>
      <w:pPr>
        <w:jc w:val="distribute"/>
        <w:rPr>
          <w:rFonts w:cs="Times New Roman" w:asciiTheme="minorEastAsia" w:hAnsiTheme="minorEastAsia"/>
          <w:kern w:val="0"/>
          <w:sz w:val="28"/>
          <w:szCs w:val="28"/>
        </w:rPr>
      </w:pPr>
      <w:r>
        <w:rPr>
          <w:rFonts w:hint="eastAsia" w:cs="Times New Roman" w:asciiTheme="minorEastAsia" w:hAnsiTheme="minorEastAsia"/>
          <w:kern w:val="0"/>
          <w:sz w:val="28"/>
          <w:szCs w:val="28"/>
        </w:rPr>
        <w:t>第二部分采购项目技术和商务要求……………………………</w:t>
      </w:r>
      <w:r>
        <w:rPr>
          <w:rFonts w:cs="Times New Roman" w:asciiTheme="minorEastAsia" w:hAnsiTheme="minorEastAsia"/>
          <w:kern w:val="0"/>
          <w:sz w:val="28"/>
          <w:szCs w:val="28"/>
        </w:rPr>
        <w:t>7</w:t>
      </w:r>
    </w:p>
    <w:p>
      <w:pPr>
        <w:jc w:val="distribute"/>
        <w:rPr>
          <w:rFonts w:cs="Times New Roman" w:asciiTheme="minorEastAsia" w:hAnsiTheme="minorEastAsia"/>
          <w:kern w:val="0"/>
          <w:sz w:val="28"/>
          <w:szCs w:val="28"/>
        </w:rPr>
      </w:pPr>
      <w:r>
        <w:rPr>
          <w:rFonts w:hint="eastAsia" w:cs="Times New Roman" w:asciiTheme="minorEastAsia" w:hAnsiTheme="minorEastAsia"/>
          <w:kern w:val="0"/>
          <w:sz w:val="28"/>
          <w:szCs w:val="28"/>
        </w:rPr>
        <w:t>第三部分供应商须知……………………………………………</w:t>
      </w:r>
      <w:r>
        <w:rPr>
          <w:rFonts w:cs="Times New Roman" w:asciiTheme="minorEastAsia" w:hAnsiTheme="minorEastAsia"/>
          <w:color w:val="FF0000"/>
          <w:kern w:val="0"/>
          <w:sz w:val="28"/>
          <w:szCs w:val="28"/>
        </w:rPr>
        <w:t>13</w:t>
      </w:r>
    </w:p>
    <w:p>
      <w:pPr>
        <w:jc w:val="distribute"/>
        <w:rPr>
          <w:rFonts w:cs="Times New Roman" w:asciiTheme="minorEastAsia" w:hAnsiTheme="minorEastAsia"/>
          <w:kern w:val="0"/>
          <w:sz w:val="28"/>
          <w:szCs w:val="28"/>
        </w:rPr>
      </w:pPr>
      <w:r>
        <w:rPr>
          <w:rFonts w:hint="eastAsia" w:cs="Times New Roman" w:asciiTheme="minorEastAsia" w:hAnsiTheme="minorEastAsia"/>
          <w:kern w:val="0"/>
          <w:sz w:val="28"/>
          <w:szCs w:val="28"/>
        </w:rPr>
        <w:t>第四部分合同样本………………………………………………</w:t>
      </w:r>
      <w:r>
        <w:rPr>
          <w:rFonts w:cs="Times New Roman" w:asciiTheme="minorEastAsia" w:hAnsiTheme="minorEastAsia"/>
          <w:kern w:val="0"/>
          <w:sz w:val="28"/>
          <w:szCs w:val="28"/>
        </w:rPr>
        <w:t>3</w:t>
      </w:r>
      <w:r>
        <w:rPr>
          <w:rFonts w:hint="eastAsia" w:cs="Times New Roman" w:asciiTheme="minorEastAsia" w:hAnsiTheme="minorEastAsia"/>
          <w:kern w:val="0"/>
          <w:sz w:val="28"/>
          <w:szCs w:val="28"/>
        </w:rPr>
        <w:t>8</w:t>
      </w:r>
    </w:p>
    <w:p>
      <w:pPr>
        <w:jc w:val="distribute"/>
        <w:rPr>
          <w:rFonts w:cs="Times New Roman" w:asciiTheme="minorEastAsia" w:hAnsiTheme="minorEastAsia"/>
          <w:kern w:val="0"/>
          <w:sz w:val="28"/>
          <w:szCs w:val="28"/>
        </w:rPr>
      </w:pPr>
      <w:r>
        <w:rPr>
          <w:rFonts w:hint="eastAsia" w:cs="Times New Roman" w:asciiTheme="minorEastAsia" w:hAnsiTheme="minorEastAsia"/>
          <w:kern w:val="0"/>
          <w:sz w:val="28"/>
          <w:szCs w:val="28"/>
        </w:rPr>
        <w:t>第五部分附件/报价文件格式…………………………………</w:t>
      </w:r>
      <w:r>
        <w:rPr>
          <w:rFonts w:cs="Times New Roman" w:asciiTheme="minorEastAsia" w:hAnsiTheme="minorEastAsia"/>
          <w:color w:val="FF0000"/>
          <w:kern w:val="0"/>
          <w:sz w:val="28"/>
          <w:szCs w:val="28"/>
        </w:rPr>
        <w:t>4</w:t>
      </w:r>
      <w:r>
        <w:rPr>
          <w:rFonts w:hint="eastAsia" w:cs="Times New Roman" w:asciiTheme="minorEastAsia" w:hAnsiTheme="minorEastAsia"/>
          <w:color w:val="FF0000"/>
          <w:kern w:val="0"/>
          <w:sz w:val="28"/>
          <w:szCs w:val="28"/>
        </w:rPr>
        <w:t>3</w:t>
      </w:r>
    </w:p>
    <w:p>
      <w:pPr>
        <w:spacing w:line="800" w:lineRule="exact"/>
        <w:ind w:firstLine="480" w:firstLineChars="200"/>
        <w:rPr>
          <w:rFonts w:ascii="Times New Roman" w:hAnsi="Times New Roman" w:eastAsia="宋体" w:cs="Times New Roman"/>
          <w:kern w:val="0"/>
          <w:sz w:val="24"/>
          <w:szCs w:val="24"/>
        </w:rPr>
      </w:pPr>
    </w:p>
    <w:p>
      <w:pPr>
        <w:spacing w:line="800" w:lineRule="exact"/>
        <w:ind w:firstLine="480" w:firstLineChars="200"/>
        <w:rPr>
          <w:rFonts w:ascii="Times New Roman" w:hAnsi="Times New Roman" w:eastAsia="宋体" w:cs="Times New Roman"/>
          <w:kern w:val="0"/>
          <w:sz w:val="24"/>
          <w:szCs w:val="24"/>
        </w:rPr>
      </w:pPr>
    </w:p>
    <w:p>
      <w:pPr>
        <w:spacing w:line="800" w:lineRule="exact"/>
        <w:ind w:firstLine="480" w:firstLineChars="200"/>
        <w:rPr>
          <w:rFonts w:ascii="Times New Roman" w:hAnsi="Times New Roman" w:eastAsia="宋体" w:cs="Times New Roman"/>
          <w:kern w:val="0"/>
          <w:sz w:val="24"/>
          <w:szCs w:val="24"/>
        </w:rPr>
      </w:pPr>
    </w:p>
    <w:p>
      <w:pPr>
        <w:spacing w:beforeLines="100"/>
        <w:jc w:val="center"/>
        <w:rPr>
          <w:rFonts w:ascii="Times New Roman" w:hAnsi="Times New Roman" w:eastAsia="华文中宋" w:cs="Times New Roman"/>
          <w:kern w:val="0"/>
          <w:sz w:val="44"/>
          <w:szCs w:val="44"/>
        </w:rPr>
      </w:pPr>
      <w:bookmarkStart w:id="0" w:name="_Toc240432228"/>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jc w:val="cente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rPr>
          <w:rFonts w:ascii="Times New Roman" w:hAnsi="Times New Roman" w:eastAsia="华文中宋" w:cs="Times New Roman"/>
          <w:sz w:val="44"/>
          <w:szCs w:val="44"/>
        </w:rPr>
      </w:pPr>
    </w:p>
    <w:p>
      <w:pPr>
        <w:pStyle w:val="3"/>
        <w:spacing w:before="0" w:after="0" w:line="360" w:lineRule="auto"/>
        <w:jc w:val="center"/>
        <w:rPr>
          <w:sz w:val="36"/>
          <w:szCs w:val="36"/>
        </w:rPr>
      </w:pPr>
      <w:bookmarkStart w:id="1" w:name="_Toc285612593"/>
      <w:bookmarkStart w:id="2" w:name="_Toc435540978"/>
      <w:r>
        <w:rPr>
          <w:rFonts w:hint="eastAsia"/>
          <w:sz w:val="36"/>
          <w:szCs w:val="36"/>
        </w:rPr>
        <w:t>第一部分</w:t>
      </w:r>
      <w:bookmarkEnd w:id="1"/>
      <w:bookmarkEnd w:id="2"/>
      <w:r>
        <w:rPr>
          <w:rFonts w:hint="eastAsia"/>
          <w:sz w:val="36"/>
          <w:szCs w:val="36"/>
        </w:rPr>
        <w:t xml:space="preserve"> 竞争性谈判公告</w:t>
      </w:r>
      <w:bookmarkEnd w:id="0"/>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我单位就以下项目进行竞争性谈判采购，采购资金已全部落实，欢迎符合条件的供应商参加投标。</w:t>
      </w:r>
    </w:p>
    <w:p>
      <w:pPr>
        <w:numPr>
          <w:ilvl w:val="0"/>
          <w:numId w:val="1"/>
        </w:numPr>
        <w:tabs>
          <w:tab w:val="left" w:pos="900"/>
        </w:tabs>
        <w:snapToGrid w:val="0"/>
        <w:spacing w:line="360" w:lineRule="auto"/>
        <w:ind w:firstLine="480"/>
        <w:jc w:val="left"/>
        <w:rPr>
          <w:rFonts w:cs="Times New Roman" w:asciiTheme="minorEastAsia" w:hAnsiTheme="minorEastAsia"/>
          <w:kern w:val="0"/>
          <w:sz w:val="24"/>
          <w:szCs w:val="24"/>
        </w:rPr>
      </w:pPr>
      <w:r>
        <w:rPr>
          <w:rFonts w:cs="Times New Roman" w:asciiTheme="minorEastAsia" w:hAnsiTheme="minorEastAsia"/>
          <w:kern w:val="0"/>
          <w:sz w:val="24"/>
          <w:szCs w:val="24"/>
        </w:rPr>
        <w:t>项目名称：</w:t>
      </w:r>
      <w:r>
        <w:rPr>
          <w:rFonts w:hint="eastAsia" w:cs="Times New Roman" w:asciiTheme="minorEastAsia" w:hAnsiTheme="minorEastAsia"/>
          <w:kern w:val="0"/>
          <w:sz w:val="24"/>
          <w:szCs w:val="24"/>
          <w:lang w:val="zh-CN"/>
        </w:rPr>
        <w:t xml:space="preserve">安徽省永丰粮食购销有限公司2.5万吨粮食仓储设施项目环流熏蒸、低温空调设备采购及安装工程 </w:t>
      </w:r>
    </w:p>
    <w:p>
      <w:pPr>
        <w:tabs>
          <w:tab w:val="left" w:pos="0"/>
          <w:tab w:val="left" w:pos="1122"/>
        </w:tabs>
        <w:spacing w:line="360" w:lineRule="auto"/>
        <w:ind w:firstLine="480" w:firstLineChars="200"/>
        <w:rPr>
          <w:rFonts w:cs="Times New Roman" w:asciiTheme="minorEastAsia" w:hAnsiTheme="minorEastAsia"/>
          <w:kern w:val="0"/>
          <w:sz w:val="24"/>
          <w:szCs w:val="24"/>
          <w:lang w:val="zh-CN"/>
        </w:rPr>
      </w:pPr>
      <w:r>
        <w:rPr>
          <w:rFonts w:hint="eastAsia" w:cs="Times New Roman" w:asciiTheme="minorEastAsia" w:hAnsiTheme="minorEastAsia"/>
          <w:kern w:val="0"/>
          <w:sz w:val="24"/>
          <w:szCs w:val="24"/>
          <w:lang w:val="zh-CN"/>
        </w:rPr>
        <w:t>二、</w:t>
      </w:r>
      <w:r>
        <w:rPr>
          <w:rFonts w:cs="Times New Roman" w:asciiTheme="minorEastAsia" w:hAnsiTheme="minorEastAsia"/>
          <w:kern w:val="0"/>
          <w:sz w:val="24"/>
          <w:szCs w:val="24"/>
          <w:lang w:val="zh-CN"/>
        </w:rPr>
        <w:t>项目编号：</w:t>
      </w:r>
      <w:r>
        <w:rPr>
          <w:rFonts w:hint="eastAsia" w:cs="Times New Roman" w:asciiTheme="minorEastAsia" w:hAnsiTheme="minorEastAsia"/>
          <w:kern w:val="0"/>
          <w:sz w:val="24"/>
          <w:szCs w:val="24"/>
          <w:lang w:val="zh-CN"/>
        </w:rPr>
        <w:t xml:space="preserve">RG </w:t>
      </w:r>
      <w:r>
        <w:rPr>
          <w:rFonts w:cs="Times New Roman" w:asciiTheme="minorEastAsia" w:hAnsiTheme="minorEastAsia"/>
          <w:kern w:val="0"/>
          <w:sz w:val="24"/>
          <w:szCs w:val="24"/>
          <w:lang w:val="zh-CN"/>
        </w:rPr>
        <w:t>202</w:t>
      </w:r>
      <w:r>
        <w:rPr>
          <w:rFonts w:hint="eastAsia" w:cs="Times New Roman" w:asciiTheme="minorEastAsia" w:hAnsiTheme="minorEastAsia"/>
          <w:kern w:val="0"/>
          <w:sz w:val="24"/>
          <w:szCs w:val="24"/>
          <w:lang w:val="zh-CN"/>
        </w:rPr>
        <w:t>1</w:t>
      </w:r>
      <w:r>
        <w:rPr>
          <w:rFonts w:cs="Times New Roman" w:asciiTheme="minorEastAsia" w:hAnsiTheme="minorEastAsia"/>
          <w:kern w:val="0"/>
          <w:sz w:val="24"/>
          <w:szCs w:val="24"/>
          <w:lang w:val="zh-CN"/>
        </w:rPr>
        <w:t>-</w:t>
      </w:r>
      <w:r>
        <w:rPr>
          <w:rFonts w:hint="eastAsia" w:cs="Times New Roman" w:asciiTheme="minorEastAsia" w:hAnsiTheme="minorEastAsia"/>
          <w:kern w:val="0"/>
          <w:sz w:val="24"/>
          <w:szCs w:val="24"/>
          <w:lang w:val="zh-CN"/>
        </w:rPr>
        <w:t>1002，</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三、项目概况</w:t>
      </w:r>
      <w:r>
        <w:rPr>
          <w:rFonts w:cs="Times New Roman" w:asciiTheme="minorEastAsia" w:hAnsiTheme="minorEastAsia"/>
          <w:kern w:val="0"/>
          <w:sz w:val="24"/>
          <w:szCs w:val="24"/>
        </w:rPr>
        <w:t>：</w:t>
      </w:r>
    </w:p>
    <w:p>
      <w:pPr>
        <w:tabs>
          <w:tab w:val="left" w:pos="900"/>
        </w:tabs>
        <w:snapToGrid w:val="0"/>
        <w:spacing w:line="360" w:lineRule="auto"/>
        <w:ind w:firstLine="480" w:firstLineChars="200"/>
        <w:jc w:val="left"/>
        <w:rPr>
          <w:rFonts w:cs="Times New Roman" w:asciiTheme="minorEastAsia" w:hAnsiTheme="minorEastAsia"/>
          <w:kern w:val="0"/>
          <w:sz w:val="24"/>
          <w:szCs w:val="24"/>
        </w:rPr>
      </w:pPr>
      <w:r>
        <w:rPr>
          <w:rFonts w:hint="eastAsia" w:cs="Times New Roman" w:asciiTheme="minorEastAsia" w:hAnsiTheme="minorEastAsia"/>
          <w:kern w:val="0"/>
          <w:sz w:val="24"/>
          <w:szCs w:val="24"/>
        </w:rPr>
        <w:t>1、标段名称：</w:t>
      </w:r>
      <w:r>
        <w:rPr>
          <w:rFonts w:hint="eastAsia" w:cs="Times New Roman" w:asciiTheme="minorEastAsia" w:hAnsiTheme="minorEastAsia"/>
          <w:kern w:val="0"/>
          <w:sz w:val="24"/>
          <w:szCs w:val="24"/>
          <w:lang w:val="zh-CN"/>
        </w:rPr>
        <w:t xml:space="preserve">安徽省永丰粮食购销有限公司2.5万吨粮食仓储设施项目环流熏蒸、低温空调设备采购及安装工程 </w:t>
      </w:r>
    </w:p>
    <w:p>
      <w:pPr>
        <w:pStyle w:val="2"/>
        <w:spacing w:line="360" w:lineRule="auto"/>
        <w:ind w:left="0" w:leftChars="0" w:firstLine="480" w:firstLineChars="200"/>
      </w:pPr>
      <w:r>
        <w:rPr>
          <w:rFonts w:hint="eastAsia" w:cs="Times New Roman" w:asciiTheme="minorEastAsia" w:hAnsiTheme="minorEastAsia"/>
          <w:kern w:val="0"/>
          <w:sz w:val="24"/>
        </w:rPr>
        <w:t>2、</w:t>
      </w:r>
      <w:r>
        <w:rPr>
          <w:rFonts w:cs="Times New Roman" w:asciiTheme="minorEastAsia" w:hAnsiTheme="minorEastAsia"/>
          <w:kern w:val="0"/>
          <w:sz w:val="24"/>
        </w:rPr>
        <w:t>项目编号：</w:t>
      </w:r>
      <w:r>
        <w:rPr>
          <w:rFonts w:hint="eastAsia" w:cs="Times New Roman" w:asciiTheme="minorEastAsia" w:hAnsiTheme="minorEastAsia"/>
          <w:kern w:val="0"/>
          <w:sz w:val="24"/>
          <w:lang w:val="zh-CN"/>
        </w:rPr>
        <w:t xml:space="preserve">RG </w:t>
      </w:r>
      <w:r>
        <w:rPr>
          <w:rFonts w:cs="Times New Roman" w:asciiTheme="minorEastAsia" w:hAnsiTheme="minorEastAsia"/>
          <w:kern w:val="0"/>
          <w:sz w:val="24"/>
          <w:lang w:val="zh-CN"/>
        </w:rPr>
        <w:t>202</w:t>
      </w:r>
      <w:r>
        <w:rPr>
          <w:rFonts w:hint="eastAsia" w:cs="Times New Roman" w:asciiTheme="minorEastAsia" w:hAnsiTheme="minorEastAsia"/>
          <w:kern w:val="0"/>
          <w:sz w:val="24"/>
          <w:lang w:val="zh-CN"/>
        </w:rPr>
        <w:t>1</w:t>
      </w:r>
      <w:r>
        <w:rPr>
          <w:rFonts w:cs="Times New Roman" w:asciiTheme="minorEastAsia" w:hAnsiTheme="minorEastAsia"/>
          <w:kern w:val="0"/>
          <w:sz w:val="24"/>
          <w:lang w:val="zh-CN"/>
        </w:rPr>
        <w:t>-</w:t>
      </w:r>
      <w:r>
        <w:rPr>
          <w:rFonts w:hint="eastAsia" w:cs="Times New Roman" w:asciiTheme="minorEastAsia" w:hAnsiTheme="minorEastAsia"/>
          <w:kern w:val="0"/>
          <w:sz w:val="24"/>
          <w:lang w:val="zh-CN"/>
        </w:rPr>
        <w:t>1002</w:t>
      </w:r>
      <w:r>
        <w:rPr>
          <w:rFonts w:hint="eastAsia" w:cs="Times New Roman" w:asciiTheme="minorEastAsia" w:hAnsiTheme="minorEastAsia"/>
          <w:kern w:val="0"/>
          <w:sz w:val="24"/>
        </w:rPr>
        <w:t>，</w:t>
      </w:r>
    </w:p>
    <w:p>
      <w:pPr>
        <w:pStyle w:val="49"/>
        <w:spacing w:line="360" w:lineRule="auto"/>
        <w:ind w:firstLine="480"/>
        <w:rPr>
          <w:rFonts w:cs="Times New Roman" w:asciiTheme="minorEastAsia" w:hAnsiTheme="minorEastAsia"/>
          <w:kern w:val="0"/>
          <w:sz w:val="24"/>
          <w:szCs w:val="24"/>
        </w:rPr>
      </w:pPr>
      <w:r>
        <w:rPr>
          <w:rFonts w:cs="Times New Roman" w:asciiTheme="minorEastAsia" w:hAnsiTheme="minorEastAsia"/>
          <w:kern w:val="0"/>
          <w:sz w:val="24"/>
          <w:szCs w:val="24"/>
        </w:rPr>
        <w:t>3</w:t>
      </w:r>
      <w:r>
        <w:rPr>
          <w:rFonts w:hint="eastAsia" w:cs="Times New Roman" w:asciiTheme="minorEastAsia" w:hAnsiTheme="minorEastAsia"/>
          <w:kern w:val="0"/>
          <w:sz w:val="24"/>
          <w:szCs w:val="24"/>
        </w:rPr>
        <w:t>、工程地点：</w:t>
      </w:r>
      <w:r>
        <w:rPr>
          <w:rFonts w:hint="eastAsia" w:cs="Times New Roman" w:asciiTheme="minorEastAsia" w:hAnsiTheme="minorEastAsia"/>
          <w:kern w:val="0"/>
          <w:sz w:val="24"/>
          <w:szCs w:val="24"/>
          <w:lang w:val="zh-CN"/>
        </w:rPr>
        <w:t>池州市东至县昭潭镇永丰村</w:t>
      </w:r>
    </w:p>
    <w:p>
      <w:pPr>
        <w:pStyle w:val="49"/>
        <w:spacing w:line="360" w:lineRule="auto"/>
        <w:ind w:firstLine="480"/>
        <w:rPr>
          <w:rFonts w:cs="Times New Roman" w:asciiTheme="minorEastAsia" w:hAnsiTheme="minorEastAsia"/>
          <w:kern w:val="0"/>
          <w:sz w:val="24"/>
          <w:szCs w:val="24"/>
        </w:rPr>
      </w:pPr>
      <w:r>
        <w:rPr>
          <w:rFonts w:cs="Times New Roman" w:asciiTheme="minorEastAsia" w:hAnsiTheme="minorEastAsia"/>
          <w:kern w:val="0"/>
          <w:sz w:val="24"/>
          <w:szCs w:val="24"/>
        </w:rPr>
        <w:t>4</w:t>
      </w:r>
      <w:r>
        <w:rPr>
          <w:rFonts w:hint="eastAsia" w:cs="Times New Roman" w:asciiTheme="minorEastAsia" w:hAnsiTheme="minorEastAsia"/>
          <w:kern w:val="0"/>
          <w:sz w:val="24"/>
          <w:szCs w:val="24"/>
        </w:rPr>
        <w:t>、采购内容、数量、控制价、技术参数：详见后附清单</w:t>
      </w:r>
    </w:p>
    <w:p>
      <w:pPr>
        <w:pStyle w:val="49"/>
        <w:spacing w:line="360" w:lineRule="auto"/>
        <w:ind w:firstLine="480"/>
        <w:rPr>
          <w:rFonts w:cs="Times New Roman" w:asciiTheme="minorEastAsia" w:hAnsiTheme="minorEastAsia"/>
          <w:kern w:val="0"/>
          <w:sz w:val="24"/>
          <w:szCs w:val="24"/>
        </w:rPr>
      </w:pPr>
      <w:r>
        <w:rPr>
          <w:rFonts w:cs="Times New Roman" w:asciiTheme="minorEastAsia" w:hAnsiTheme="minorEastAsia"/>
          <w:kern w:val="0"/>
          <w:sz w:val="24"/>
          <w:szCs w:val="24"/>
        </w:rPr>
        <w:t>5</w:t>
      </w:r>
      <w:r>
        <w:rPr>
          <w:rFonts w:hint="eastAsia" w:cs="Times New Roman" w:asciiTheme="minorEastAsia" w:hAnsiTheme="minorEastAsia"/>
          <w:kern w:val="0"/>
          <w:sz w:val="24"/>
          <w:szCs w:val="24"/>
        </w:rPr>
        <w:t>、控制价：47.5万元（单位：人民币）（超过控制价的报价视为无效） ；</w:t>
      </w:r>
    </w:p>
    <w:p>
      <w:pPr>
        <w:pStyle w:val="49"/>
        <w:spacing w:line="360" w:lineRule="auto"/>
        <w:ind w:firstLine="480"/>
        <w:rPr>
          <w:rFonts w:cs="Times New Roman" w:asciiTheme="minorEastAsia" w:hAnsiTheme="minorEastAsia"/>
          <w:kern w:val="0"/>
          <w:sz w:val="24"/>
          <w:szCs w:val="24"/>
        </w:rPr>
      </w:pPr>
      <w:r>
        <w:rPr>
          <w:rFonts w:cs="Times New Roman" w:asciiTheme="minorEastAsia" w:hAnsiTheme="minorEastAsia"/>
          <w:kern w:val="0"/>
          <w:sz w:val="24"/>
          <w:szCs w:val="24"/>
        </w:rPr>
        <w:t>6</w:t>
      </w:r>
      <w:r>
        <w:rPr>
          <w:rFonts w:hint="eastAsia" w:cs="Times New Roman" w:asciiTheme="minorEastAsia" w:hAnsiTheme="minorEastAsia"/>
          <w:kern w:val="0"/>
          <w:sz w:val="24"/>
          <w:szCs w:val="24"/>
        </w:rPr>
        <w:t>、交付使用期：合同签订后</w:t>
      </w:r>
      <w:r>
        <w:rPr>
          <w:rFonts w:hint="eastAsia" w:cs="Times New Roman" w:asciiTheme="minorEastAsia" w:hAnsiTheme="minorEastAsia"/>
          <w:kern w:val="0"/>
          <w:sz w:val="24"/>
          <w:szCs w:val="24"/>
          <w:highlight w:val="yellow"/>
        </w:rPr>
        <w:t>20</w:t>
      </w:r>
      <w:r>
        <w:rPr>
          <w:rFonts w:hint="eastAsia" w:cs="Times New Roman" w:asciiTheme="minorEastAsia" w:hAnsiTheme="minorEastAsia"/>
          <w:kern w:val="0"/>
          <w:sz w:val="24"/>
          <w:szCs w:val="24"/>
        </w:rPr>
        <w:t>个日历日内交付并安装完成</w:t>
      </w:r>
    </w:p>
    <w:p>
      <w:pPr>
        <w:pStyle w:val="49"/>
        <w:spacing w:line="360" w:lineRule="auto"/>
        <w:ind w:firstLine="480"/>
        <w:rPr>
          <w:rFonts w:cs="Times New Roman" w:asciiTheme="minorEastAsia" w:hAnsiTheme="minorEastAsia"/>
          <w:kern w:val="0"/>
          <w:sz w:val="24"/>
          <w:szCs w:val="24"/>
        </w:rPr>
      </w:pPr>
      <w:r>
        <w:rPr>
          <w:rFonts w:cs="Times New Roman" w:asciiTheme="minorEastAsia" w:hAnsiTheme="minorEastAsia"/>
          <w:kern w:val="0"/>
          <w:sz w:val="24"/>
          <w:szCs w:val="24"/>
        </w:rPr>
        <w:t>7</w:t>
      </w:r>
      <w:r>
        <w:rPr>
          <w:rFonts w:hint="eastAsia" w:cs="Times New Roman" w:asciiTheme="minorEastAsia" w:hAnsiTheme="minorEastAsia"/>
          <w:kern w:val="0"/>
          <w:sz w:val="24"/>
          <w:szCs w:val="24"/>
        </w:rPr>
        <w:t>、质量验收标准：符合设备本身的技术条件及乙方承诺的其它指标；</w:t>
      </w:r>
    </w:p>
    <w:p>
      <w:pPr>
        <w:pStyle w:val="49"/>
        <w:spacing w:line="360" w:lineRule="auto"/>
        <w:ind w:firstLine="480"/>
        <w:rPr>
          <w:rFonts w:cs="Times New Roman" w:asciiTheme="minorEastAsia" w:hAnsiTheme="minorEastAsia"/>
          <w:kern w:val="0"/>
          <w:sz w:val="24"/>
          <w:szCs w:val="24"/>
          <w:lang w:val="zh-CN"/>
        </w:rPr>
      </w:pPr>
      <w:r>
        <w:rPr>
          <w:rFonts w:cs="Times New Roman" w:asciiTheme="minorEastAsia" w:hAnsiTheme="minorEastAsia"/>
          <w:kern w:val="0"/>
          <w:sz w:val="24"/>
          <w:szCs w:val="24"/>
          <w:lang w:val="zh-CN"/>
        </w:rPr>
        <w:t>8</w:t>
      </w:r>
      <w:r>
        <w:rPr>
          <w:rFonts w:hint="eastAsia" w:cs="Times New Roman" w:asciiTheme="minorEastAsia" w:hAnsiTheme="minorEastAsia"/>
          <w:kern w:val="0"/>
          <w:sz w:val="24"/>
          <w:szCs w:val="24"/>
          <w:lang w:val="zh-CN"/>
        </w:rPr>
        <w:t>、评标办法：综合评分法</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四、供应商</w:t>
      </w:r>
      <w:r>
        <w:rPr>
          <w:rFonts w:cs="Times New Roman" w:asciiTheme="minorEastAsia" w:hAnsiTheme="minorEastAsia"/>
          <w:kern w:val="0"/>
          <w:sz w:val="24"/>
          <w:szCs w:val="24"/>
        </w:rPr>
        <w:t>资格条件：</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（一）符合《中华人民共和国政府采购法》第二十二条资格条件：</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1.具有独立承担民事责任的能力；</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2.具有良好的商业信誉和健全的财务会计制度；</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3.具有履行合同所必需的设备和专业技术能力；</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4.有依法缴纳税收和社会保障资金的良好记录；</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5.参加政府采购活动前3年内，在经营活动中没有重大违法记录；</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6.法律、行政法规规定的其他条件。</w:t>
      </w:r>
    </w:p>
    <w:p>
      <w:pPr>
        <w:tabs>
          <w:tab w:val="left" w:pos="0"/>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（二）非外资独资或外资控股企业。</w:t>
      </w:r>
    </w:p>
    <w:p>
      <w:pPr>
        <w:tabs>
          <w:tab w:val="left" w:pos="0"/>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单位负责人为同一人或者存在直接控股、管理关系的不同供应商，不得同时参加同一包的采购活动。生产型企业生产场地为同一地址的，销售型企业之间股东有关联的，一律视为有直接控股、管理关系。供应商之间有上述关系的，应主动声明，否则将给予列入不良记录名单、3年内不得参加我单位采购活动的处罚。</w:t>
      </w:r>
    </w:p>
    <w:p>
      <w:pPr>
        <w:tabs>
          <w:tab w:val="left" w:pos="0"/>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（四）本项目不接受联合体投标。</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五、谈判文件</w:t>
      </w:r>
      <w:r>
        <w:rPr>
          <w:rFonts w:cs="Times New Roman" w:asciiTheme="minorEastAsia" w:hAnsiTheme="minorEastAsia"/>
          <w:kern w:val="0"/>
          <w:sz w:val="24"/>
          <w:szCs w:val="24"/>
        </w:rPr>
        <w:t>发售时间、地点、方式及售价</w:t>
      </w:r>
    </w:p>
    <w:p>
      <w:pPr>
        <w:tabs>
          <w:tab w:val="left" w:pos="0"/>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（一）发售时间：2021年11月12日至11月18日（08:00—11:30，14:30—17:00）（北京时间、节假日除外）。</w:t>
      </w:r>
    </w:p>
    <w:p>
      <w:pPr>
        <w:tabs>
          <w:tab w:val="left" w:pos="0"/>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（二）发售地点：安徽省合肥市包河区望江东路金中环广场C座1608-09室。</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（三）发售方式：供应商指定专人现场领取，不接受邮寄等其他方式。供应商购买谈判文件时需提供以下材料复印件及装订成册加盖单位公章的复印件1份。</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1.营业执照；</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2.组织机构代码证（三证合一的不需提供）；</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3.税务登记证（三证合一的不需提供）；</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4.法定代表人授权书（含法定代表人和被授权人身份证复印件）及联系方式；</w:t>
      </w:r>
    </w:p>
    <w:p>
      <w:pPr>
        <w:tabs>
          <w:tab w:val="left" w:pos="0"/>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（四）谈判文件售价：200元/份，售后不退。</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六、响应文件递交开始和截止</w:t>
      </w:r>
      <w:r>
        <w:rPr>
          <w:rFonts w:cs="Times New Roman" w:asciiTheme="minorEastAsia" w:hAnsiTheme="minorEastAsia"/>
          <w:kern w:val="0"/>
          <w:sz w:val="24"/>
          <w:szCs w:val="24"/>
        </w:rPr>
        <w:t>时间</w:t>
      </w:r>
      <w:r>
        <w:rPr>
          <w:rFonts w:hint="eastAsia" w:cs="Times New Roman" w:asciiTheme="minorEastAsia" w:hAnsiTheme="minorEastAsia"/>
          <w:kern w:val="0"/>
          <w:sz w:val="24"/>
          <w:szCs w:val="24"/>
        </w:rPr>
        <w:t>及</w:t>
      </w:r>
      <w:r>
        <w:rPr>
          <w:rFonts w:cs="Times New Roman" w:asciiTheme="minorEastAsia" w:hAnsiTheme="minorEastAsia"/>
          <w:kern w:val="0"/>
          <w:sz w:val="24"/>
          <w:szCs w:val="24"/>
        </w:rPr>
        <w:t>地点</w:t>
      </w:r>
      <w:r>
        <w:rPr>
          <w:rFonts w:hint="eastAsia" w:cs="Times New Roman" w:asciiTheme="minorEastAsia" w:hAnsiTheme="minorEastAsia"/>
          <w:kern w:val="0"/>
          <w:sz w:val="24"/>
          <w:szCs w:val="24"/>
        </w:rPr>
        <w:t>、方式</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（一）开始时间：2021年11月</w:t>
      </w:r>
      <w:r>
        <w:rPr>
          <w:rFonts w:hint="eastAsia" w:cs="Times New Roman" w:asciiTheme="minorEastAsia" w:hAnsiTheme="minorEastAsia"/>
          <w:kern w:val="0"/>
          <w:sz w:val="24"/>
          <w:szCs w:val="24"/>
          <w:lang w:val="en-US" w:eastAsia="zh-CN"/>
        </w:rPr>
        <w:t>19</w:t>
      </w:r>
      <w:r>
        <w:rPr>
          <w:rFonts w:hint="eastAsia" w:cs="Times New Roman" w:asciiTheme="minorEastAsia" w:hAnsiTheme="minorEastAsia"/>
          <w:kern w:val="0"/>
          <w:sz w:val="24"/>
          <w:szCs w:val="24"/>
        </w:rPr>
        <w:t>日14时00分（北京时间）。</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（二）截止时间：2021年11月</w:t>
      </w:r>
      <w:r>
        <w:rPr>
          <w:rFonts w:hint="eastAsia" w:cs="Times New Roman" w:asciiTheme="minorEastAsia" w:hAnsiTheme="minorEastAsia"/>
          <w:kern w:val="0"/>
          <w:sz w:val="24"/>
          <w:szCs w:val="24"/>
          <w:lang w:val="en-US" w:eastAsia="zh-CN"/>
        </w:rPr>
        <w:t>19</w:t>
      </w:r>
      <w:bookmarkStart w:id="33" w:name="_GoBack"/>
      <w:bookmarkEnd w:id="33"/>
      <w:r>
        <w:rPr>
          <w:rFonts w:hint="eastAsia" w:cs="Times New Roman" w:asciiTheme="minorEastAsia" w:hAnsiTheme="minorEastAsia"/>
          <w:kern w:val="0"/>
          <w:sz w:val="24"/>
          <w:szCs w:val="24"/>
        </w:rPr>
        <w:t xml:space="preserve"> 日14时30分（北京时间）。</w:t>
      </w:r>
    </w:p>
    <w:p>
      <w:pPr>
        <w:tabs>
          <w:tab w:val="left" w:pos="0"/>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（三）谈判地点：</w:t>
      </w:r>
      <w:r>
        <w:rPr>
          <w:rFonts w:hint="eastAsia" w:cs="Times New Roman" w:asciiTheme="minorEastAsia" w:hAnsiTheme="minorEastAsia"/>
          <w:kern w:val="0"/>
          <w:sz w:val="24"/>
          <w:szCs w:val="24"/>
          <w:highlight w:val="yellow"/>
        </w:rPr>
        <w:t>安徽省合肥市芜湖路275号</w:t>
      </w:r>
      <w:r>
        <w:rPr>
          <w:rFonts w:hint="eastAsia" w:cs="Times New Roman" w:asciiTheme="minorEastAsia" w:hAnsiTheme="minorEastAsia"/>
          <w:kern w:val="0"/>
          <w:sz w:val="24"/>
          <w:szCs w:val="24"/>
        </w:rPr>
        <w:t>。</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（四）投标方式：指定专人递交响应文件，不接受邮寄等其他方式。</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七、</w:t>
      </w:r>
      <w:r>
        <w:rPr>
          <w:rFonts w:hint="eastAsia" w:cs="Times New Roman" w:asciiTheme="minorEastAsia" w:hAnsiTheme="minorEastAsia"/>
          <w:kern w:val="0"/>
          <w:sz w:val="24"/>
          <w:szCs w:val="24"/>
        </w:rPr>
        <w:tab/>
      </w:r>
      <w:r>
        <w:rPr>
          <w:rFonts w:hint="eastAsia" w:cs="Times New Roman" w:asciiTheme="minorEastAsia" w:hAnsiTheme="minorEastAsia"/>
          <w:kern w:val="0"/>
          <w:sz w:val="24"/>
          <w:szCs w:val="24"/>
        </w:rPr>
        <w:t>谈判时间、地点</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（一）</w:t>
      </w:r>
      <w:r>
        <w:rPr>
          <w:rFonts w:hint="eastAsia" w:cs="Times New Roman" w:asciiTheme="minorEastAsia" w:hAnsiTheme="minorEastAsia"/>
          <w:kern w:val="0"/>
          <w:sz w:val="24"/>
          <w:szCs w:val="24"/>
        </w:rPr>
        <w:tab/>
      </w:r>
      <w:r>
        <w:rPr>
          <w:rFonts w:hint="eastAsia" w:cs="Times New Roman" w:asciiTheme="minorEastAsia" w:hAnsiTheme="minorEastAsia"/>
          <w:kern w:val="0"/>
          <w:sz w:val="24"/>
          <w:szCs w:val="24"/>
        </w:rPr>
        <w:t>时间：2021年11月</w:t>
      </w:r>
      <w:r>
        <w:rPr>
          <w:rFonts w:hint="eastAsia" w:cs="Times New Roman" w:asciiTheme="minorEastAsia" w:hAnsiTheme="minorEastAsia"/>
          <w:kern w:val="0"/>
          <w:sz w:val="24"/>
          <w:szCs w:val="24"/>
          <w:lang w:val="en-US" w:eastAsia="zh-CN"/>
        </w:rPr>
        <w:t>19</w:t>
      </w:r>
      <w:r>
        <w:rPr>
          <w:rFonts w:hint="eastAsia" w:cs="Times New Roman" w:asciiTheme="minorEastAsia" w:hAnsiTheme="minorEastAsia"/>
          <w:kern w:val="0"/>
          <w:sz w:val="24"/>
          <w:szCs w:val="24"/>
        </w:rPr>
        <w:t>日14时30分（北京时间）。</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w:t>
      </w:r>
      <w:r>
        <w:rPr>
          <w:rFonts w:hint="eastAsia" w:cs="Times New Roman" w:asciiTheme="minorEastAsia" w:hAnsiTheme="minorEastAsia"/>
          <w:kern w:val="0"/>
          <w:sz w:val="24"/>
          <w:szCs w:val="24"/>
        </w:rPr>
        <w:tab/>
      </w:r>
      <w:r>
        <w:rPr>
          <w:rFonts w:hint="eastAsia" w:cs="Times New Roman" w:asciiTheme="minorEastAsia" w:hAnsiTheme="minorEastAsia"/>
          <w:kern w:val="0"/>
          <w:sz w:val="24"/>
          <w:szCs w:val="24"/>
        </w:rPr>
        <w:t>地点：</w:t>
      </w:r>
      <w:r>
        <w:rPr>
          <w:rFonts w:hint="eastAsia" w:cs="Times New Roman" w:asciiTheme="minorEastAsia" w:hAnsiTheme="minorEastAsia"/>
          <w:kern w:val="0"/>
          <w:sz w:val="24"/>
          <w:szCs w:val="24"/>
          <w:highlight w:val="yellow"/>
        </w:rPr>
        <w:t>安徽省合肥市芜湖路275号</w:t>
      </w:r>
      <w:r>
        <w:rPr>
          <w:rFonts w:hint="eastAsia" w:cs="Times New Roman" w:asciiTheme="minorEastAsia" w:hAnsiTheme="minorEastAsia"/>
          <w:kern w:val="0"/>
          <w:sz w:val="24"/>
          <w:szCs w:val="24"/>
        </w:rPr>
        <w:t>。</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八、</w:t>
      </w:r>
      <w:r>
        <w:rPr>
          <w:rFonts w:cs="Times New Roman" w:asciiTheme="minorEastAsia" w:hAnsiTheme="minorEastAsia"/>
          <w:kern w:val="0"/>
          <w:sz w:val="24"/>
          <w:szCs w:val="24"/>
        </w:rPr>
        <w:t>本</w:t>
      </w:r>
      <w:r>
        <w:rPr>
          <w:rFonts w:hint="eastAsia" w:cs="Times New Roman" w:asciiTheme="minorEastAsia" w:hAnsiTheme="minorEastAsia"/>
          <w:kern w:val="0"/>
          <w:sz w:val="24"/>
          <w:szCs w:val="24"/>
        </w:rPr>
        <w:t>采购</w:t>
      </w:r>
      <w:r>
        <w:rPr>
          <w:rFonts w:cs="Times New Roman" w:asciiTheme="minorEastAsia" w:hAnsiTheme="minorEastAsia"/>
          <w:kern w:val="0"/>
          <w:sz w:val="24"/>
          <w:szCs w:val="24"/>
        </w:rPr>
        <w:t>项目相关信息在</w:t>
      </w:r>
      <w:r>
        <w:rPr>
          <w:rFonts w:hint="eastAsia" w:cs="Times New Roman" w:asciiTheme="minorEastAsia" w:hAnsiTheme="minorEastAsia"/>
          <w:kern w:val="0"/>
          <w:sz w:val="24"/>
          <w:szCs w:val="24"/>
        </w:rPr>
        <w:t>安徽省旅游集团网</w:t>
      </w:r>
      <w:r>
        <w:rPr>
          <w:rFonts w:cs="Times New Roman" w:asciiTheme="minorEastAsia" w:hAnsiTheme="minorEastAsia"/>
          <w:kern w:val="0"/>
          <w:sz w:val="24"/>
          <w:szCs w:val="24"/>
        </w:rPr>
        <w:t>上发布。</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九、采购人</w:t>
      </w:r>
      <w:r>
        <w:rPr>
          <w:rFonts w:cs="Times New Roman" w:asciiTheme="minorEastAsia" w:hAnsiTheme="minorEastAsia"/>
          <w:kern w:val="0"/>
          <w:sz w:val="24"/>
          <w:szCs w:val="24"/>
        </w:rPr>
        <w:t>联系方式</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联 系 人：徐先生</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电    话：</w:t>
      </w:r>
      <w:r>
        <w:rPr>
          <w:rFonts w:cs="Times New Roman" w:asciiTheme="minorEastAsia" w:hAnsiTheme="minorEastAsia"/>
          <w:kern w:val="0"/>
          <w:sz w:val="24"/>
          <w:szCs w:val="24"/>
        </w:rPr>
        <w:t xml:space="preserve">13856628628   </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地    址：</w:t>
      </w:r>
      <w:r>
        <w:rPr>
          <w:rFonts w:hint="eastAsia" w:cs="Times New Roman" w:asciiTheme="minorEastAsia" w:hAnsiTheme="minorEastAsia"/>
          <w:kern w:val="0"/>
          <w:sz w:val="24"/>
          <w:szCs w:val="24"/>
          <w:highlight w:val="yellow"/>
        </w:rPr>
        <w:t>安徽省合肥市芜湖路275号</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邮政编码：230001</w:t>
      </w:r>
    </w:p>
    <w:p>
      <w:pPr>
        <w:tabs>
          <w:tab w:val="left" w:pos="0"/>
          <w:tab w:val="left" w:pos="1122"/>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十、采购代理机构</w:t>
      </w:r>
      <w:r>
        <w:rPr>
          <w:rFonts w:cs="Times New Roman" w:asciiTheme="minorEastAsia" w:hAnsiTheme="minorEastAsia"/>
          <w:kern w:val="0"/>
          <w:sz w:val="24"/>
          <w:szCs w:val="24"/>
        </w:rPr>
        <w:t>联系方式</w:t>
      </w:r>
    </w:p>
    <w:p>
      <w:pPr>
        <w:spacing w:line="360" w:lineRule="auto"/>
        <w:ind w:firstLine="480" w:firstLineChars="200"/>
        <w:jc w:val="left"/>
        <w:rPr>
          <w:rFonts w:cs="Times New Roman" w:asciiTheme="minorEastAsia" w:hAnsiTheme="minorEastAsia"/>
          <w:kern w:val="0"/>
          <w:sz w:val="24"/>
          <w:szCs w:val="24"/>
        </w:rPr>
      </w:pPr>
      <w:bookmarkStart w:id="3" w:name="_Toc435540979"/>
      <w:bookmarkStart w:id="4" w:name="_Toc390713967"/>
      <w:bookmarkStart w:id="5" w:name="_Toc285612594"/>
      <w:r>
        <w:rPr>
          <w:rFonts w:hint="eastAsia" w:cs="Times New Roman" w:asciiTheme="minorEastAsia" w:hAnsiTheme="minorEastAsia"/>
          <w:kern w:val="0"/>
          <w:sz w:val="24"/>
          <w:szCs w:val="24"/>
        </w:rPr>
        <w:t>联 系 人：张工、袁工</w:t>
      </w:r>
    </w:p>
    <w:p>
      <w:pPr>
        <w:spacing w:line="360" w:lineRule="auto"/>
        <w:ind w:firstLine="480" w:firstLineChars="200"/>
        <w:jc w:val="left"/>
        <w:rPr>
          <w:rFonts w:cs="Times New Roman" w:asciiTheme="minorEastAsia" w:hAnsiTheme="minorEastAsia"/>
          <w:kern w:val="0"/>
          <w:sz w:val="24"/>
          <w:szCs w:val="24"/>
        </w:rPr>
      </w:pPr>
      <w:r>
        <w:rPr>
          <w:rFonts w:hint="eastAsia" w:cs="Times New Roman" w:asciiTheme="minorEastAsia" w:hAnsiTheme="minorEastAsia"/>
          <w:kern w:val="0"/>
          <w:sz w:val="24"/>
          <w:szCs w:val="24"/>
        </w:rPr>
        <w:t>电    话：15956584622</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地    址：合肥市望江东路金中环C座1608-09室</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邮政编码：230001</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账户名称：合肥容公工程咨询有限公司</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谈判保证金汇款账号：</w:t>
      </w:r>
      <w:r>
        <w:rPr>
          <w:rFonts w:cs="Times New Roman" w:asciiTheme="minorEastAsia" w:hAnsiTheme="minorEastAsia"/>
          <w:kern w:val="0"/>
          <w:sz w:val="24"/>
          <w:szCs w:val="24"/>
        </w:rPr>
        <w:t>1302 0419 0910 0015 306</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谈判保证金汇入行：中国工商银行股份有限公司合肥站前路支行</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请供应商在汇款时务必注明所投标项目的招标编号及款项用途，否则，因款项用途不明导致投标无效等后果由供应商自行承担。</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采购人：安徽省永丰粮食购销有限公司</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采购代理机构：合肥容公工程咨询有限公司</w:t>
      </w:r>
    </w:p>
    <w:p>
      <w:pPr>
        <w:pStyle w:val="2"/>
        <w:ind w:left="1260"/>
      </w:pPr>
    </w:p>
    <w:p>
      <w:pPr>
        <w:ind w:firstLine="5903" w:firstLineChars="2100"/>
        <w:rPr>
          <w:rFonts w:ascii="宋体" w:hAnsi="宋体" w:eastAsia="宋体" w:cs="Times New Roman"/>
          <w:b/>
          <w:kern w:val="0"/>
          <w:sz w:val="28"/>
          <w:szCs w:val="28"/>
        </w:rPr>
      </w:pPr>
      <w:r>
        <w:rPr>
          <w:rFonts w:ascii="宋体" w:hAnsi="宋体" w:eastAsia="宋体" w:cs="Times New Roman"/>
          <w:b/>
          <w:kern w:val="0"/>
          <w:sz w:val="28"/>
          <w:szCs w:val="28"/>
        </w:rPr>
        <w:t>二〇二一年</w:t>
      </w:r>
      <w:r>
        <w:rPr>
          <w:rFonts w:hint="eastAsia" w:ascii="宋体" w:hAnsi="宋体" w:eastAsia="宋体" w:cs="Times New Roman"/>
          <w:b/>
          <w:kern w:val="0"/>
          <w:sz w:val="28"/>
          <w:szCs w:val="28"/>
        </w:rPr>
        <w:t>十一月十日</w:t>
      </w:r>
    </w:p>
    <w:p>
      <w:pPr>
        <w:spacing w:line="360" w:lineRule="auto"/>
        <w:rPr>
          <w:rFonts w:cs="Times New Roman" w:asciiTheme="minorEastAsia" w:hAnsiTheme="minorEastAsia"/>
          <w:kern w:val="0"/>
          <w:sz w:val="24"/>
          <w:szCs w:val="24"/>
          <w:lang w:val="zh-CN"/>
        </w:rPr>
        <w:sectPr>
          <w:headerReference r:id="rId3" w:type="default"/>
          <w:footerReference r:id="rId4" w:type="default"/>
          <w:pgSz w:w="11906" w:h="16838"/>
          <w:pgMar w:top="1440" w:right="1440" w:bottom="1440" w:left="1440" w:header="851" w:footer="992" w:gutter="0"/>
          <w:pgNumType w:start="1"/>
          <w:cols w:space="425" w:num="1"/>
          <w:docGrid w:linePitch="579" w:charSpace="-1844"/>
        </w:sectPr>
      </w:pPr>
      <w:r>
        <w:rPr>
          <w:rFonts w:hint="eastAsia" w:cs="Times New Roman" w:asciiTheme="minorEastAsia" w:hAnsiTheme="minorEastAsia"/>
          <w:kern w:val="0"/>
          <w:sz w:val="24"/>
          <w:szCs w:val="24"/>
          <w:lang w:val="zh-CN"/>
        </w:rPr>
        <w:br w:type="page"/>
      </w:r>
    </w:p>
    <w:p>
      <w:pPr>
        <w:pStyle w:val="3"/>
        <w:spacing w:before="0" w:after="0" w:line="360" w:lineRule="auto"/>
        <w:jc w:val="center"/>
        <w:rPr>
          <w:sz w:val="36"/>
          <w:szCs w:val="36"/>
          <w:highlight w:val="yellow"/>
        </w:rPr>
      </w:pPr>
      <w:r>
        <w:rPr>
          <w:rFonts w:hint="eastAsia"/>
          <w:sz w:val="36"/>
          <w:szCs w:val="36"/>
          <w:highlight w:val="yellow"/>
        </w:rPr>
        <w:t>第二部分 设备采购及安装工程项目清单和技术要求</w:t>
      </w:r>
      <w:bookmarkEnd w:id="3"/>
      <w:bookmarkEnd w:id="4"/>
      <w:bookmarkEnd w:id="5"/>
    </w:p>
    <w:tbl>
      <w:tblPr>
        <w:tblStyle w:val="19"/>
        <w:tblW w:w="9650" w:type="dxa"/>
        <w:tblInd w:w="97" w:type="dxa"/>
        <w:tblLayout w:type="fixed"/>
        <w:tblCellMar>
          <w:top w:w="0" w:type="dxa"/>
          <w:left w:w="108" w:type="dxa"/>
          <w:bottom w:w="0" w:type="dxa"/>
          <w:right w:w="108" w:type="dxa"/>
        </w:tblCellMar>
      </w:tblPr>
      <w:tblGrid>
        <w:gridCol w:w="640"/>
        <w:gridCol w:w="2300"/>
        <w:gridCol w:w="2600"/>
        <w:gridCol w:w="640"/>
        <w:gridCol w:w="880"/>
        <w:gridCol w:w="720"/>
        <w:gridCol w:w="878"/>
        <w:gridCol w:w="992"/>
      </w:tblGrid>
      <w:tr>
        <w:tblPrEx>
          <w:tblCellMar>
            <w:top w:w="0" w:type="dxa"/>
            <w:left w:w="108" w:type="dxa"/>
            <w:bottom w:w="0" w:type="dxa"/>
            <w:right w:w="108" w:type="dxa"/>
          </w:tblCellMar>
        </w:tblPrEx>
        <w:trPr>
          <w:trHeight w:val="915" w:hRule="atLeast"/>
        </w:trPr>
        <w:tc>
          <w:tcPr>
            <w:tcW w:w="9650" w:type="dxa"/>
            <w:gridSpan w:val="8"/>
            <w:tcBorders>
              <w:left w:val="nil"/>
              <w:bottom w:val="single" w:color="auto" w:sz="4" w:space="0"/>
              <w:right w:val="nil"/>
            </w:tcBorders>
            <w:shd w:val="clear" w:color="auto" w:fill="auto"/>
            <w:vAlign w:val="center"/>
          </w:tcPr>
          <w:p>
            <w:pPr>
              <w:pStyle w:val="18"/>
              <w:ind w:left="0" w:leftChars="0" w:firstLine="0" w:firstLineChars="0"/>
            </w:pPr>
          </w:p>
          <w:p>
            <w:pPr>
              <w:widowControl/>
              <w:jc w:val="center"/>
              <w:rPr>
                <w:rFonts w:ascii="宋体" w:hAnsi="宋体" w:cs="宋体"/>
                <w:b/>
                <w:bCs/>
                <w:kern w:val="0"/>
                <w:sz w:val="32"/>
                <w:szCs w:val="32"/>
              </w:rPr>
            </w:pPr>
            <w:r>
              <w:rPr>
                <w:rFonts w:hint="eastAsia" w:ascii="宋体" w:hAnsi="宋体" w:cs="宋体"/>
                <w:b/>
                <w:bCs/>
                <w:kern w:val="0"/>
                <w:sz w:val="24"/>
              </w:rPr>
              <w:t>环流熏蒸、低温空调工艺设备安装工程清单(48*24)四幢</w:t>
            </w:r>
          </w:p>
        </w:tc>
      </w:tr>
      <w:tr>
        <w:tblPrEx>
          <w:tblCellMar>
            <w:top w:w="0" w:type="dxa"/>
            <w:left w:w="108" w:type="dxa"/>
            <w:bottom w:w="0" w:type="dxa"/>
            <w:right w:w="108" w:type="dxa"/>
          </w:tblCellMar>
        </w:tblPrEx>
        <w:trPr>
          <w:trHeight w:val="499" w:hRule="atLeast"/>
        </w:trPr>
        <w:tc>
          <w:tcPr>
            <w:tcW w:w="6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rPr>
            </w:pPr>
            <w:r>
              <w:rPr>
                <w:rFonts w:hint="eastAsia" w:ascii="宋体" w:hAnsi="宋体" w:cs="宋体"/>
                <w:b/>
                <w:bCs/>
                <w:kern w:val="0"/>
                <w:sz w:val="22"/>
              </w:rPr>
              <w:t>序号</w:t>
            </w:r>
          </w:p>
        </w:tc>
        <w:tc>
          <w:tcPr>
            <w:tcW w:w="23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rPr>
            </w:pPr>
            <w:r>
              <w:rPr>
                <w:rFonts w:hint="eastAsia" w:ascii="宋体" w:hAnsi="宋体" w:cs="宋体"/>
                <w:b/>
                <w:bCs/>
                <w:kern w:val="0"/>
                <w:sz w:val="22"/>
              </w:rPr>
              <w:t>名  称</w:t>
            </w:r>
          </w:p>
        </w:tc>
        <w:tc>
          <w:tcPr>
            <w:tcW w:w="26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rPr>
            </w:pPr>
            <w:r>
              <w:rPr>
                <w:rFonts w:hint="eastAsia" w:ascii="宋体" w:hAnsi="宋体" w:cs="宋体"/>
                <w:b/>
                <w:bCs/>
                <w:kern w:val="0"/>
                <w:sz w:val="22"/>
              </w:rPr>
              <w:t>规     格</w:t>
            </w:r>
          </w:p>
        </w:tc>
        <w:tc>
          <w:tcPr>
            <w:tcW w:w="6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rPr>
            </w:pPr>
            <w:r>
              <w:rPr>
                <w:rFonts w:hint="eastAsia" w:ascii="宋体" w:hAnsi="宋体" w:cs="宋体"/>
                <w:b/>
                <w:bCs/>
                <w:kern w:val="0"/>
                <w:sz w:val="22"/>
              </w:rPr>
              <w:t>单位</w:t>
            </w:r>
          </w:p>
        </w:tc>
        <w:tc>
          <w:tcPr>
            <w:tcW w:w="8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rPr>
            </w:pPr>
            <w:r>
              <w:rPr>
                <w:rFonts w:hint="eastAsia" w:ascii="宋体" w:hAnsi="宋体" w:cs="宋体"/>
                <w:b/>
                <w:bCs/>
                <w:kern w:val="0"/>
                <w:sz w:val="22"/>
              </w:rPr>
              <w:t>数量</w:t>
            </w:r>
          </w:p>
        </w:tc>
        <w:tc>
          <w:tcPr>
            <w:tcW w:w="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rPr>
            </w:pPr>
            <w:r>
              <w:rPr>
                <w:rFonts w:hint="eastAsia" w:ascii="宋体" w:hAnsi="宋体" w:cs="宋体"/>
                <w:b/>
                <w:bCs/>
                <w:kern w:val="0"/>
                <w:sz w:val="22"/>
              </w:rPr>
              <w:t>单价(元)</w:t>
            </w:r>
          </w:p>
        </w:tc>
        <w:tc>
          <w:tcPr>
            <w:tcW w:w="87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rPr>
            </w:pPr>
            <w:r>
              <w:rPr>
                <w:rFonts w:hint="eastAsia" w:ascii="宋体" w:hAnsi="宋体" w:cs="宋体"/>
                <w:b/>
                <w:bCs/>
                <w:kern w:val="0"/>
                <w:sz w:val="22"/>
              </w:rPr>
              <w:t>总价(元)</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b/>
                <w:bCs/>
                <w:kern w:val="0"/>
                <w:sz w:val="22"/>
              </w:rPr>
            </w:pPr>
            <w:r>
              <w:rPr>
                <w:rFonts w:hint="eastAsia" w:ascii="宋体" w:hAnsi="宋体" w:cs="宋体"/>
                <w:b/>
                <w:bCs/>
                <w:kern w:val="0"/>
                <w:sz w:val="22"/>
              </w:rPr>
              <w:t>备  注</w:t>
            </w:r>
          </w:p>
        </w:tc>
      </w:tr>
      <w:tr>
        <w:tblPrEx>
          <w:tblCellMar>
            <w:top w:w="0" w:type="dxa"/>
            <w:left w:w="108" w:type="dxa"/>
            <w:bottom w:w="0" w:type="dxa"/>
            <w:right w:w="108" w:type="dxa"/>
          </w:tblCellMar>
        </w:tblPrEx>
        <w:trPr>
          <w:trHeight w:val="499" w:hRule="atLeast"/>
        </w:trPr>
        <w:tc>
          <w:tcPr>
            <w:tcW w:w="6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1</w:t>
            </w:r>
          </w:p>
        </w:tc>
        <w:tc>
          <w:tcPr>
            <w:tcW w:w="23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环流机</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1.1KW</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台</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8</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878"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99" w:hRule="atLeast"/>
        </w:trPr>
        <w:tc>
          <w:tcPr>
            <w:tcW w:w="6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2</w:t>
            </w:r>
          </w:p>
        </w:tc>
        <w:tc>
          <w:tcPr>
            <w:tcW w:w="23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环流机罩</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400*600(</w:t>
            </w:r>
            <w:r>
              <w:rPr>
                <w:rFonts w:hint="eastAsia" w:ascii="宋体" w:hAnsi="宋体" w:cs="宋体"/>
                <w:kern w:val="0"/>
                <w:sz w:val="22"/>
              </w:rPr>
              <w:t>不锈钢</w:t>
            </w:r>
            <w:r>
              <w:rPr>
                <w:rFonts w:hint="eastAsia" w:ascii="SimSun-ExtB" w:hAnsi="SimSun-ExtB" w:eastAsia="SimSun-ExtB" w:cs="宋体"/>
                <w:kern w:val="0"/>
                <w:sz w:val="22"/>
              </w:rPr>
              <w:t>304)</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个</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8</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878"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99" w:hRule="atLeast"/>
        </w:trPr>
        <w:tc>
          <w:tcPr>
            <w:tcW w:w="6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3</w:t>
            </w:r>
          </w:p>
        </w:tc>
        <w:tc>
          <w:tcPr>
            <w:tcW w:w="23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环流固定主管道</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D108(</w:t>
            </w:r>
            <w:r>
              <w:rPr>
                <w:rFonts w:hint="eastAsia" w:ascii="宋体" w:hAnsi="宋体" w:cs="宋体"/>
                <w:kern w:val="0"/>
                <w:sz w:val="22"/>
              </w:rPr>
              <w:t>不锈钢</w:t>
            </w:r>
            <w:r>
              <w:rPr>
                <w:rFonts w:hint="eastAsia" w:ascii="SimSun-ExtB" w:hAnsi="SimSun-ExtB" w:eastAsia="SimSun-ExtB" w:cs="宋体"/>
                <w:kern w:val="0"/>
                <w:sz w:val="22"/>
              </w:rPr>
              <w:t>304)</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套</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8</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878"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99" w:hRule="atLeast"/>
        </w:trPr>
        <w:tc>
          <w:tcPr>
            <w:tcW w:w="6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4</w:t>
            </w:r>
          </w:p>
        </w:tc>
        <w:tc>
          <w:tcPr>
            <w:tcW w:w="23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环流固定支管道</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一机三风口</w:t>
            </w:r>
            <w:r>
              <w:rPr>
                <w:rFonts w:hint="eastAsia" w:ascii="SimSun-ExtB" w:hAnsi="SimSun-ExtB" w:eastAsia="SimSun-ExtB" w:cs="宋体"/>
                <w:kern w:val="0"/>
                <w:sz w:val="22"/>
              </w:rPr>
              <w:br w:type="textWrapping"/>
            </w:r>
            <w:r>
              <w:rPr>
                <w:rFonts w:hint="eastAsia" w:ascii="SimSun-ExtB" w:hAnsi="SimSun-ExtB" w:eastAsia="SimSun-ExtB" w:cs="宋体"/>
                <w:kern w:val="0"/>
                <w:sz w:val="22"/>
              </w:rPr>
              <w:t>D76(</w:t>
            </w:r>
            <w:r>
              <w:rPr>
                <w:rFonts w:hint="eastAsia" w:ascii="宋体" w:hAnsi="宋体" w:cs="宋体"/>
                <w:kern w:val="0"/>
                <w:sz w:val="22"/>
              </w:rPr>
              <w:t>不锈钢</w:t>
            </w:r>
            <w:r>
              <w:rPr>
                <w:rFonts w:hint="eastAsia" w:ascii="SimSun-ExtB" w:hAnsi="SimSun-ExtB" w:eastAsia="SimSun-ExtB" w:cs="宋体"/>
                <w:kern w:val="0"/>
                <w:sz w:val="22"/>
              </w:rPr>
              <w:t>304)</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套</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8</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878"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385" w:hRule="atLeast"/>
        </w:trPr>
        <w:tc>
          <w:tcPr>
            <w:tcW w:w="6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5</w:t>
            </w:r>
          </w:p>
        </w:tc>
        <w:tc>
          <w:tcPr>
            <w:tcW w:w="23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检测装置</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套</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8</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878"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99" w:hRule="atLeast"/>
        </w:trPr>
        <w:tc>
          <w:tcPr>
            <w:tcW w:w="6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6</w:t>
            </w:r>
          </w:p>
        </w:tc>
        <w:tc>
          <w:tcPr>
            <w:tcW w:w="23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电控装置</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套</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8</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878"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390" w:hRule="atLeast"/>
        </w:trPr>
        <w:tc>
          <w:tcPr>
            <w:tcW w:w="6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7</w:t>
            </w:r>
          </w:p>
        </w:tc>
        <w:tc>
          <w:tcPr>
            <w:tcW w:w="23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标准件、配件</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套</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8</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878"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r>
      <w:tr>
        <w:tblPrEx>
          <w:tblCellMar>
            <w:top w:w="0" w:type="dxa"/>
            <w:left w:w="108" w:type="dxa"/>
            <w:bottom w:w="0" w:type="dxa"/>
            <w:right w:w="108" w:type="dxa"/>
          </w:tblCellMar>
        </w:tblPrEx>
        <w:trPr>
          <w:trHeight w:val="499" w:hRule="atLeast"/>
        </w:trPr>
        <w:tc>
          <w:tcPr>
            <w:tcW w:w="6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8</w:t>
            </w:r>
          </w:p>
        </w:tc>
        <w:tc>
          <w:tcPr>
            <w:tcW w:w="2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磷化氢浓度检测仪</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color w:val="000000"/>
                <w:kern w:val="0"/>
                <w:sz w:val="22"/>
              </w:rPr>
            </w:pPr>
            <w:r>
              <w:rPr>
                <w:color w:val="000000"/>
                <w:kern w:val="0"/>
                <w:sz w:val="22"/>
              </w:rPr>
              <w:t>HL-210</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台</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1</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878"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SimSun-ExtB" w:hAnsi="SimSun-ExtB" w:eastAsia="SimSun-ExtB" w:cs="宋体"/>
                <w:color w:val="FF0000"/>
                <w:kern w:val="0"/>
                <w:sz w:val="22"/>
              </w:rPr>
            </w:pPr>
            <w:r>
              <w:rPr>
                <w:rFonts w:hint="eastAsia" w:ascii="宋体" w:hAnsi="宋体" w:cs="宋体"/>
                <w:color w:val="FF0000"/>
                <w:kern w:val="0"/>
                <w:sz w:val="22"/>
              </w:rPr>
              <w:t>　</w:t>
            </w:r>
          </w:p>
        </w:tc>
      </w:tr>
      <w:tr>
        <w:tblPrEx>
          <w:tblCellMar>
            <w:top w:w="0" w:type="dxa"/>
            <w:left w:w="108" w:type="dxa"/>
            <w:bottom w:w="0" w:type="dxa"/>
            <w:right w:w="108" w:type="dxa"/>
          </w:tblCellMar>
        </w:tblPrEx>
        <w:trPr>
          <w:trHeight w:val="499" w:hRule="atLeast"/>
        </w:trPr>
        <w:tc>
          <w:tcPr>
            <w:tcW w:w="64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9</w:t>
            </w:r>
          </w:p>
        </w:tc>
        <w:tc>
          <w:tcPr>
            <w:tcW w:w="2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磷化氢浓度报警仪</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color w:val="000000"/>
                <w:kern w:val="0"/>
                <w:sz w:val="22"/>
              </w:rPr>
            </w:pPr>
            <w:r>
              <w:rPr>
                <w:color w:val="000000"/>
                <w:kern w:val="0"/>
                <w:sz w:val="22"/>
              </w:rPr>
              <w:t>HL-200</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台</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1</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878"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SimSun-ExtB" w:hAnsi="SimSun-ExtB" w:eastAsia="SimSun-ExtB" w:cs="宋体"/>
                <w:color w:val="FF0000"/>
                <w:kern w:val="0"/>
                <w:sz w:val="22"/>
              </w:rPr>
            </w:pPr>
            <w:r>
              <w:rPr>
                <w:rFonts w:hint="eastAsia" w:ascii="宋体" w:hAnsi="宋体" w:cs="宋体"/>
                <w:color w:val="FF0000"/>
                <w:kern w:val="0"/>
                <w:sz w:val="22"/>
              </w:rPr>
              <w:t>　</w:t>
            </w:r>
          </w:p>
        </w:tc>
      </w:tr>
      <w:tr>
        <w:tblPrEx>
          <w:tblCellMar>
            <w:top w:w="0" w:type="dxa"/>
            <w:left w:w="108" w:type="dxa"/>
            <w:bottom w:w="0" w:type="dxa"/>
            <w:right w:w="108" w:type="dxa"/>
          </w:tblCellMar>
        </w:tblPrEx>
        <w:trPr>
          <w:trHeight w:val="333"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10</w:t>
            </w:r>
          </w:p>
        </w:tc>
        <w:tc>
          <w:tcPr>
            <w:tcW w:w="23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低温专用空调</w:t>
            </w:r>
            <w:r>
              <w:rPr>
                <w:rFonts w:hint="eastAsia" w:ascii="SimSun-ExtB" w:hAnsi="SimSun-ExtB" w:eastAsia="SimSun-ExtB" w:cs="宋体"/>
                <w:kern w:val="0"/>
                <w:sz w:val="22"/>
              </w:rPr>
              <w:t xml:space="preserve"> </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5HP</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台</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6</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878"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SimSun-ExtB" w:hAnsi="SimSun-ExtB" w:eastAsia="SimSun-ExtB" w:cs="宋体"/>
                <w:color w:val="FF0000"/>
                <w:kern w:val="0"/>
                <w:sz w:val="22"/>
              </w:rPr>
            </w:pPr>
            <w:r>
              <w:rPr>
                <w:rFonts w:hint="eastAsia" w:ascii="宋体" w:hAnsi="宋体" w:cs="宋体"/>
                <w:color w:val="FF0000"/>
                <w:kern w:val="0"/>
                <w:sz w:val="22"/>
              </w:rPr>
              <w:t>　</w:t>
            </w:r>
          </w:p>
        </w:tc>
      </w:tr>
      <w:tr>
        <w:tblPrEx>
          <w:tblCellMar>
            <w:top w:w="0" w:type="dxa"/>
            <w:left w:w="108" w:type="dxa"/>
            <w:bottom w:w="0" w:type="dxa"/>
            <w:right w:w="108" w:type="dxa"/>
          </w:tblCellMar>
        </w:tblPrEx>
        <w:trPr>
          <w:trHeight w:val="499"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11</w:t>
            </w:r>
          </w:p>
        </w:tc>
        <w:tc>
          <w:tcPr>
            <w:tcW w:w="23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粮面走道板</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500*1000mm</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米</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408</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878" w:type="dxa"/>
            <w:tcBorders>
              <w:top w:val="nil"/>
              <w:left w:val="nil"/>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宋体" w:hAnsi="宋体" w:cs="宋体"/>
                <w:kern w:val="0"/>
                <w:sz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SimSun-ExtB" w:hAnsi="SimSun-ExtB" w:eastAsia="SimSun-ExtB" w:cs="宋体"/>
                <w:color w:val="FF0000"/>
                <w:kern w:val="0"/>
                <w:sz w:val="22"/>
              </w:rPr>
            </w:pPr>
            <w:r>
              <w:rPr>
                <w:rFonts w:hint="eastAsia" w:ascii="宋体" w:hAnsi="宋体" w:cs="宋体"/>
                <w:color w:val="FF0000"/>
                <w:kern w:val="0"/>
                <w:sz w:val="22"/>
              </w:rPr>
              <w:t>　</w:t>
            </w:r>
          </w:p>
        </w:tc>
      </w:tr>
      <w:tr>
        <w:tblPrEx>
          <w:tblCellMar>
            <w:top w:w="0" w:type="dxa"/>
            <w:left w:w="108" w:type="dxa"/>
            <w:bottom w:w="0" w:type="dxa"/>
            <w:right w:w="108" w:type="dxa"/>
          </w:tblCellMar>
        </w:tblPrEx>
        <w:trPr>
          <w:trHeight w:val="433"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12</w:t>
            </w:r>
          </w:p>
        </w:tc>
        <w:tc>
          <w:tcPr>
            <w:tcW w:w="2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粮情测温</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见下表　</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套</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kern w:val="0"/>
                <w:sz w:val="22"/>
              </w:rPr>
            </w:pPr>
            <w:r>
              <w:rPr>
                <w:kern w:val="0"/>
                <w:sz w:val="22"/>
              </w:rPr>
              <w:t>1</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kern w:val="0"/>
                <w:sz w:val="22"/>
              </w:rPr>
            </w:pPr>
            <w:r>
              <w:rPr>
                <w:kern w:val="0"/>
                <w:sz w:val="22"/>
              </w:rPr>
              <w:t>　</w:t>
            </w:r>
          </w:p>
        </w:tc>
        <w:tc>
          <w:tcPr>
            <w:tcW w:w="878" w:type="dxa"/>
            <w:tcBorders>
              <w:top w:val="nil"/>
              <w:left w:val="nil"/>
              <w:bottom w:val="single" w:color="auto" w:sz="4" w:space="0"/>
              <w:right w:val="single" w:color="auto" w:sz="4" w:space="0"/>
            </w:tcBorders>
            <w:shd w:val="clear" w:color="auto" w:fill="auto"/>
            <w:vAlign w:val="center"/>
          </w:tcPr>
          <w:p>
            <w:pPr>
              <w:widowControl/>
              <w:jc w:val="center"/>
              <w:rPr>
                <w:kern w:val="0"/>
                <w:sz w:val="22"/>
              </w:rPr>
            </w:pPr>
            <w:r>
              <w:rPr>
                <w:kern w:val="0"/>
                <w:sz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FF0000"/>
                <w:kern w:val="0"/>
                <w:sz w:val="22"/>
              </w:rPr>
            </w:pPr>
            <w:r>
              <w:rPr>
                <w:rFonts w:hint="eastAsia" w:ascii="宋体" w:hAnsi="宋体" w:cs="宋体"/>
                <w:color w:val="FF0000"/>
                <w:kern w:val="0"/>
                <w:sz w:val="22"/>
              </w:rPr>
              <w:t>　</w:t>
            </w:r>
          </w:p>
        </w:tc>
      </w:tr>
      <w:tr>
        <w:tblPrEx>
          <w:tblCellMar>
            <w:top w:w="0" w:type="dxa"/>
            <w:left w:w="108" w:type="dxa"/>
            <w:bottom w:w="0" w:type="dxa"/>
            <w:right w:w="108" w:type="dxa"/>
          </w:tblCellMar>
        </w:tblPrEx>
        <w:trPr>
          <w:trHeight w:val="433" w:hRule="atLeast"/>
        </w:trPr>
        <w:tc>
          <w:tcPr>
            <w:tcW w:w="64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SimSun-ExtB" w:hAnsi="SimSun-ExtB" w:eastAsia="SimSun-ExtB" w:cs="宋体"/>
                <w:kern w:val="0"/>
                <w:sz w:val="22"/>
              </w:rPr>
            </w:pPr>
            <w:r>
              <w:rPr>
                <w:rFonts w:hint="eastAsia" w:ascii="SimSun-ExtB" w:hAnsi="SimSun-ExtB" w:eastAsia="SimSun-ExtB" w:cs="宋体"/>
                <w:kern w:val="0"/>
                <w:sz w:val="22"/>
              </w:rPr>
              <w:t>13</w:t>
            </w:r>
          </w:p>
        </w:tc>
        <w:tc>
          <w:tcPr>
            <w:tcW w:w="23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安装、调试费</w:t>
            </w:r>
          </w:p>
        </w:tc>
        <w:tc>
          <w:tcPr>
            <w:tcW w:w="26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rPr>
            </w:pPr>
            <w:r>
              <w:rPr>
                <w:rFonts w:hint="eastAsia" w:ascii="宋体" w:hAnsi="宋体" w:cs="宋体"/>
                <w:kern w:val="0"/>
                <w:sz w:val="22"/>
              </w:rPr>
              <w:t>套</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kern w:val="0"/>
                <w:sz w:val="22"/>
              </w:rPr>
            </w:pPr>
            <w:r>
              <w:rPr>
                <w:rFonts w:hint="eastAsia"/>
                <w:kern w:val="0"/>
                <w:sz w:val="22"/>
              </w:rPr>
              <w:t>1</w:t>
            </w:r>
          </w:p>
        </w:tc>
        <w:tc>
          <w:tcPr>
            <w:tcW w:w="720" w:type="dxa"/>
            <w:tcBorders>
              <w:top w:val="nil"/>
              <w:left w:val="nil"/>
              <w:bottom w:val="single" w:color="auto" w:sz="4" w:space="0"/>
              <w:right w:val="single" w:color="auto" w:sz="4" w:space="0"/>
            </w:tcBorders>
            <w:shd w:val="clear" w:color="auto" w:fill="auto"/>
            <w:vAlign w:val="center"/>
          </w:tcPr>
          <w:p>
            <w:pPr>
              <w:widowControl/>
              <w:jc w:val="center"/>
              <w:rPr>
                <w:kern w:val="0"/>
                <w:sz w:val="22"/>
              </w:rPr>
            </w:pPr>
          </w:p>
        </w:tc>
        <w:tc>
          <w:tcPr>
            <w:tcW w:w="878" w:type="dxa"/>
            <w:tcBorders>
              <w:top w:val="nil"/>
              <w:left w:val="nil"/>
              <w:bottom w:val="single" w:color="auto" w:sz="4" w:space="0"/>
              <w:right w:val="single" w:color="auto" w:sz="4" w:space="0"/>
            </w:tcBorders>
            <w:shd w:val="clear" w:color="auto" w:fill="auto"/>
            <w:vAlign w:val="center"/>
          </w:tcPr>
          <w:p>
            <w:pPr>
              <w:widowControl/>
              <w:jc w:val="center"/>
              <w:rPr>
                <w:kern w:val="0"/>
                <w:sz w:val="22"/>
              </w:rPr>
            </w:pP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FF0000"/>
                <w:kern w:val="0"/>
                <w:sz w:val="22"/>
              </w:rPr>
            </w:pPr>
          </w:p>
        </w:tc>
      </w:tr>
      <w:tr>
        <w:tblPrEx>
          <w:tblCellMar>
            <w:top w:w="0" w:type="dxa"/>
            <w:left w:w="108" w:type="dxa"/>
            <w:bottom w:w="0" w:type="dxa"/>
            <w:right w:w="108" w:type="dxa"/>
          </w:tblCellMar>
        </w:tblPrEx>
        <w:trPr>
          <w:trHeight w:val="499" w:hRule="atLeast"/>
        </w:trPr>
        <w:tc>
          <w:tcPr>
            <w:tcW w:w="7780"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SimSun-ExtB" w:hAnsi="SimSun-ExtB" w:eastAsia="SimSun-ExtB" w:cs="宋体"/>
                <w:kern w:val="0"/>
                <w:sz w:val="22"/>
              </w:rPr>
            </w:pPr>
            <w:r>
              <w:rPr>
                <w:rFonts w:hint="eastAsia" w:ascii="宋体" w:hAnsi="宋体" w:cs="宋体"/>
                <w:kern w:val="0"/>
                <w:sz w:val="22"/>
              </w:rPr>
              <w:t>合计</w:t>
            </w:r>
            <w:r>
              <w:rPr>
                <w:rFonts w:hint="eastAsia" w:ascii="SimSun-ExtB" w:hAnsi="SimSun-ExtB" w:eastAsia="SimSun-ExtB" w:cs="宋体"/>
                <w:kern w:val="0"/>
                <w:sz w:val="22"/>
              </w:rPr>
              <w:t>:</w:t>
            </w:r>
            <w:r>
              <w:rPr>
                <w:rFonts w:hint="eastAsia"/>
              </w:rPr>
              <w:t xml:space="preserve"> </w:t>
            </w:r>
            <w:r>
              <w:rPr>
                <w:rFonts w:hint="eastAsia" w:ascii="宋体" w:hAnsi="宋体" w:cs="宋体"/>
                <w:kern w:val="0"/>
                <w:sz w:val="22"/>
              </w:rPr>
              <w:t>最高限价475000元</w:t>
            </w:r>
          </w:p>
        </w:tc>
        <w:tc>
          <w:tcPr>
            <w:tcW w:w="878" w:type="dxa"/>
            <w:tcBorders>
              <w:top w:val="nil"/>
              <w:left w:val="nil"/>
              <w:bottom w:val="single" w:color="auto" w:sz="4" w:space="0"/>
              <w:right w:val="single" w:color="auto" w:sz="4" w:space="0"/>
            </w:tcBorders>
            <w:shd w:val="clear" w:color="auto" w:fill="auto"/>
            <w:noWrap/>
            <w:vAlign w:val="center"/>
          </w:tcPr>
          <w:p>
            <w:pPr>
              <w:widowControl/>
              <w:jc w:val="center"/>
              <w:rPr>
                <w:rFonts w:ascii="SimSun-ExtB" w:hAnsi="SimSun-ExtB" w:eastAsia="SimSun-ExtB" w:cs="宋体"/>
                <w:b/>
                <w:bCs/>
                <w:kern w:val="0"/>
                <w:sz w:val="22"/>
              </w:rPr>
            </w:pPr>
            <w:r>
              <w:rPr>
                <w:rFonts w:hint="eastAsia" w:ascii="宋体" w:hAnsi="宋体" w:cs="宋体"/>
                <w:b/>
                <w:bCs/>
                <w:kern w:val="0"/>
                <w:sz w:val="22"/>
              </w:rPr>
              <w:t>　</w:t>
            </w:r>
          </w:p>
        </w:tc>
        <w:tc>
          <w:tcPr>
            <w:tcW w:w="992" w:type="dxa"/>
            <w:tcBorders>
              <w:top w:val="nil"/>
              <w:left w:val="nil"/>
              <w:bottom w:val="single" w:color="auto" w:sz="4" w:space="0"/>
              <w:right w:val="single" w:color="auto" w:sz="4" w:space="0"/>
            </w:tcBorders>
            <w:shd w:val="clear" w:color="auto" w:fill="auto"/>
            <w:noWrap/>
            <w:vAlign w:val="center"/>
          </w:tcPr>
          <w:p>
            <w:pPr>
              <w:widowControl/>
              <w:jc w:val="left"/>
              <w:rPr>
                <w:rFonts w:ascii="SimSun-ExtB" w:hAnsi="SimSun-ExtB" w:eastAsia="SimSun-ExtB" w:cs="宋体"/>
                <w:kern w:val="0"/>
                <w:sz w:val="22"/>
              </w:rPr>
            </w:pPr>
            <w:r>
              <w:rPr>
                <w:rFonts w:hint="eastAsia" w:ascii="宋体" w:hAnsi="宋体" w:cs="宋体"/>
                <w:kern w:val="0"/>
                <w:sz w:val="22"/>
              </w:rPr>
              <w:t>　</w:t>
            </w:r>
          </w:p>
        </w:tc>
      </w:tr>
    </w:tbl>
    <w:p>
      <w:pPr>
        <w:autoSpaceDE w:val="0"/>
        <w:autoSpaceDN w:val="0"/>
        <w:adjustRightInd w:val="0"/>
        <w:spacing w:before="9" w:line="90" w:lineRule="exact"/>
        <w:jc w:val="left"/>
        <w:rPr>
          <w:rFonts w:ascii="宋体" w:hAnsi="宋体"/>
          <w:kern w:val="0"/>
          <w:sz w:val="9"/>
          <w:szCs w:val="9"/>
        </w:rPr>
      </w:pPr>
    </w:p>
    <w:tbl>
      <w:tblPr>
        <w:tblStyle w:val="19"/>
        <w:tblW w:w="9929" w:type="dxa"/>
        <w:tblInd w:w="97" w:type="dxa"/>
        <w:tblLayout w:type="fixed"/>
        <w:tblCellMar>
          <w:top w:w="0" w:type="dxa"/>
          <w:left w:w="108" w:type="dxa"/>
          <w:bottom w:w="0" w:type="dxa"/>
          <w:right w:w="108" w:type="dxa"/>
        </w:tblCellMar>
      </w:tblPr>
      <w:tblGrid>
        <w:gridCol w:w="437"/>
        <w:gridCol w:w="904"/>
        <w:gridCol w:w="1080"/>
        <w:gridCol w:w="236"/>
        <w:gridCol w:w="558"/>
        <w:gridCol w:w="624"/>
        <w:gridCol w:w="576"/>
        <w:gridCol w:w="132"/>
        <w:gridCol w:w="854"/>
        <w:gridCol w:w="122"/>
        <w:gridCol w:w="1009"/>
        <w:gridCol w:w="318"/>
        <w:gridCol w:w="1241"/>
        <w:gridCol w:w="414"/>
        <w:gridCol w:w="1145"/>
        <w:gridCol w:w="279"/>
      </w:tblGrid>
      <w:tr>
        <w:tblPrEx>
          <w:tblCellMar>
            <w:top w:w="0" w:type="dxa"/>
            <w:left w:w="108" w:type="dxa"/>
            <w:bottom w:w="0" w:type="dxa"/>
            <w:right w:w="108" w:type="dxa"/>
          </w:tblCellMar>
        </w:tblPrEx>
        <w:trPr>
          <w:gridAfter w:val="1"/>
          <w:wAfter w:w="279" w:type="dxa"/>
          <w:trHeight w:val="600" w:hRule="atLeast"/>
        </w:trPr>
        <w:tc>
          <w:tcPr>
            <w:tcW w:w="9650" w:type="dxa"/>
            <w:gridSpan w:val="15"/>
            <w:tcBorders>
              <w:top w:val="nil"/>
              <w:left w:val="nil"/>
              <w:bottom w:val="single" w:color="auto" w:sz="4" w:space="0"/>
              <w:right w:val="nil"/>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粮情测温配置清单</w:t>
            </w:r>
          </w:p>
        </w:tc>
      </w:tr>
      <w:tr>
        <w:tblPrEx>
          <w:tblCellMar>
            <w:top w:w="0" w:type="dxa"/>
            <w:left w:w="108" w:type="dxa"/>
            <w:bottom w:w="0" w:type="dxa"/>
            <w:right w:w="108" w:type="dxa"/>
          </w:tblCellMar>
        </w:tblPrEx>
        <w:trPr>
          <w:gridAfter w:val="1"/>
          <w:wAfter w:w="279" w:type="dxa"/>
          <w:trHeight w:val="600" w:hRule="atLeast"/>
        </w:trPr>
        <w:tc>
          <w:tcPr>
            <w:tcW w:w="43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序号</w:t>
            </w:r>
          </w:p>
        </w:tc>
        <w:tc>
          <w:tcPr>
            <w:tcW w:w="198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货物名称</w:t>
            </w:r>
          </w:p>
        </w:tc>
        <w:tc>
          <w:tcPr>
            <w:tcW w:w="141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型号规格</w:t>
            </w:r>
          </w:p>
        </w:tc>
        <w:tc>
          <w:tcPr>
            <w:tcW w:w="70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单位</w:t>
            </w:r>
          </w:p>
        </w:tc>
        <w:tc>
          <w:tcPr>
            <w:tcW w:w="8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rPr>
            </w:pPr>
            <w:r>
              <w:rPr>
                <w:rFonts w:hint="eastAsia" w:ascii="宋体" w:hAnsi="宋体" w:cs="宋体"/>
                <w:b/>
                <w:bCs/>
                <w:color w:val="000000"/>
                <w:kern w:val="0"/>
                <w:sz w:val="22"/>
              </w:rPr>
              <w:t>数量小计</w:t>
            </w:r>
          </w:p>
        </w:tc>
        <w:tc>
          <w:tcPr>
            <w:tcW w:w="113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单价(元）</w:t>
            </w:r>
          </w:p>
        </w:tc>
        <w:tc>
          <w:tcPr>
            <w:tcW w:w="155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rPr>
            </w:pPr>
            <w:r>
              <w:rPr>
                <w:rFonts w:hint="eastAsia" w:ascii="宋体" w:hAnsi="宋体" w:cs="宋体"/>
                <w:b/>
                <w:bCs/>
                <w:color w:val="000000"/>
                <w:kern w:val="0"/>
                <w:sz w:val="22"/>
              </w:rPr>
              <w:t>合价</w:t>
            </w:r>
          </w:p>
        </w:tc>
        <w:tc>
          <w:tcPr>
            <w:tcW w:w="155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备注</w:t>
            </w:r>
          </w:p>
        </w:tc>
      </w:tr>
      <w:tr>
        <w:tblPrEx>
          <w:tblCellMar>
            <w:top w:w="0" w:type="dxa"/>
            <w:left w:w="108" w:type="dxa"/>
            <w:bottom w:w="0" w:type="dxa"/>
            <w:right w:w="108" w:type="dxa"/>
          </w:tblCellMar>
        </w:tblPrEx>
        <w:trPr>
          <w:gridAfter w:val="1"/>
          <w:wAfter w:w="279" w:type="dxa"/>
          <w:trHeight w:val="600" w:hRule="atLeast"/>
        </w:trPr>
        <w:tc>
          <w:tcPr>
            <w:tcW w:w="43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984"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无线测控主机</w:t>
            </w:r>
          </w:p>
        </w:tc>
        <w:tc>
          <w:tcPr>
            <w:tcW w:w="1418" w:type="dxa"/>
            <w:gridSpan w:val="3"/>
            <w:tcBorders>
              <w:top w:val="single" w:color="auto" w:sz="4" w:space="0"/>
              <w:left w:val="nil"/>
              <w:bottom w:val="nil"/>
              <w:right w:val="single" w:color="000000"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WS201</w:t>
            </w:r>
          </w:p>
        </w:tc>
        <w:tc>
          <w:tcPr>
            <w:tcW w:w="70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台</w:t>
            </w:r>
          </w:p>
        </w:tc>
        <w:tc>
          <w:tcPr>
            <w:tcW w:w="8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113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55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55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rPr>
            </w:pPr>
            <w:r>
              <w:rPr>
                <w:rFonts w:hint="eastAsia" w:ascii="宋体" w:hAnsi="宋体" w:cs="宋体"/>
                <w:b/>
                <w:bCs/>
                <w:color w:val="000000"/>
                <w:kern w:val="0"/>
                <w:sz w:val="22"/>
              </w:rPr>
              <w:t>　</w:t>
            </w:r>
          </w:p>
        </w:tc>
      </w:tr>
      <w:tr>
        <w:tblPrEx>
          <w:tblCellMar>
            <w:top w:w="0" w:type="dxa"/>
            <w:left w:w="108" w:type="dxa"/>
            <w:bottom w:w="0" w:type="dxa"/>
            <w:right w:w="108" w:type="dxa"/>
          </w:tblCellMar>
        </w:tblPrEx>
        <w:trPr>
          <w:gridAfter w:val="1"/>
          <w:wAfter w:w="279" w:type="dxa"/>
          <w:trHeight w:val="600" w:hRule="atLeast"/>
        </w:trPr>
        <w:tc>
          <w:tcPr>
            <w:tcW w:w="43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1984"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无线测控分机</w:t>
            </w:r>
          </w:p>
        </w:tc>
        <w:tc>
          <w:tcPr>
            <w:tcW w:w="1418" w:type="dxa"/>
            <w:gridSpan w:val="3"/>
            <w:tcBorders>
              <w:top w:val="nil"/>
              <w:left w:val="nil"/>
              <w:bottom w:val="single" w:color="auto" w:sz="4" w:space="0"/>
              <w:right w:val="single" w:color="000000"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WS203</w:t>
            </w:r>
          </w:p>
        </w:tc>
        <w:tc>
          <w:tcPr>
            <w:tcW w:w="70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台</w:t>
            </w:r>
          </w:p>
        </w:tc>
        <w:tc>
          <w:tcPr>
            <w:tcW w:w="8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4</w:t>
            </w:r>
          </w:p>
        </w:tc>
        <w:tc>
          <w:tcPr>
            <w:tcW w:w="113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55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55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rPr>
            </w:pPr>
            <w:r>
              <w:rPr>
                <w:rFonts w:hint="eastAsia" w:ascii="宋体" w:hAnsi="宋体" w:cs="宋体"/>
                <w:b/>
                <w:bCs/>
                <w:color w:val="000000"/>
                <w:kern w:val="0"/>
                <w:sz w:val="22"/>
              </w:rPr>
              <w:t>　</w:t>
            </w:r>
          </w:p>
        </w:tc>
      </w:tr>
      <w:tr>
        <w:tblPrEx>
          <w:tblCellMar>
            <w:top w:w="0" w:type="dxa"/>
            <w:left w:w="108" w:type="dxa"/>
            <w:bottom w:w="0" w:type="dxa"/>
            <w:right w:w="108" w:type="dxa"/>
          </w:tblCellMar>
        </w:tblPrEx>
        <w:trPr>
          <w:gridAfter w:val="1"/>
          <w:wAfter w:w="279" w:type="dxa"/>
          <w:trHeight w:val="600" w:hRule="atLeast"/>
        </w:trPr>
        <w:tc>
          <w:tcPr>
            <w:tcW w:w="43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3</w:t>
            </w:r>
          </w:p>
        </w:tc>
        <w:tc>
          <w:tcPr>
            <w:tcW w:w="198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仓温仓湿传感器</w:t>
            </w:r>
          </w:p>
        </w:tc>
        <w:tc>
          <w:tcPr>
            <w:tcW w:w="141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LZWS207</w:t>
            </w:r>
          </w:p>
        </w:tc>
        <w:tc>
          <w:tcPr>
            <w:tcW w:w="70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台</w:t>
            </w:r>
          </w:p>
        </w:tc>
        <w:tc>
          <w:tcPr>
            <w:tcW w:w="8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4</w:t>
            </w:r>
          </w:p>
        </w:tc>
        <w:tc>
          <w:tcPr>
            <w:tcW w:w="113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55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559"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gridAfter w:val="1"/>
          <w:wAfter w:w="279" w:type="dxa"/>
          <w:trHeight w:val="600" w:hRule="atLeast"/>
        </w:trPr>
        <w:tc>
          <w:tcPr>
            <w:tcW w:w="43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5</w:t>
            </w:r>
          </w:p>
        </w:tc>
        <w:tc>
          <w:tcPr>
            <w:tcW w:w="198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气温气湿传感器</w:t>
            </w:r>
          </w:p>
        </w:tc>
        <w:tc>
          <w:tcPr>
            <w:tcW w:w="141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LZWS207</w:t>
            </w:r>
          </w:p>
        </w:tc>
        <w:tc>
          <w:tcPr>
            <w:tcW w:w="70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台</w:t>
            </w:r>
          </w:p>
        </w:tc>
        <w:tc>
          <w:tcPr>
            <w:tcW w:w="8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5</w:t>
            </w:r>
          </w:p>
        </w:tc>
        <w:tc>
          <w:tcPr>
            <w:tcW w:w="113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55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559"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gridAfter w:val="1"/>
          <w:wAfter w:w="279" w:type="dxa"/>
          <w:trHeight w:val="600" w:hRule="atLeast"/>
        </w:trPr>
        <w:tc>
          <w:tcPr>
            <w:tcW w:w="43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6</w:t>
            </w:r>
          </w:p>
        </w:tc>
        <w:tc>
          <w:tcPr>
            <w:tcW w:w="198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数字测温电缆</w:t>
            </w:r>
          </w:p>
        </w:tc>
        <w:tc>
          <w:tcPr>
            <w:tcW w:w="141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LZWS205\7.5米4点</w:t>
            </w:r>
          </w:p>
        </w:tc>
        <w:tc>
          <w:tcPr>
            <w:tcW w:w="70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根</w:t>
            </w:r>
          </w:p>
        </w:tc>
        <w:tc>
          <w:tcPr>
            <w:tcW w:w="8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288</w:t>
            </w:r>
          </w:p>
        </w:tc>
        <w:tc>
          <w:tcPr>
            <w:tcW w:w="113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55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559"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rPr>
            </w:pPr>
          </w:p>
        </w:tc>
      </w:tr>
      <w:tr>
        <w:tblPrEx>
          <w:tblCellMar>
            <w:top w:w="0" w:type="dxa"/>
            <w:left w:w="108" w:type="dxa"/>
            <w:bottom w:w="0" w:type="dxa"/>
            <w:right w:w="108" w:type="dxa"/>
          </w:tblCellMar>
        </w:tblPrEx>
        <w:trPr>
          <w:gridAfter w:val="1"/>
          <w:wAfter w:w="279" w:type="dxa"/>
          <w:trHeight w:val="600" w:hRule="atLeast"/>
        </w:trPr>
        <w:tc>
          <w:tcPr>
            <w:tcW w:w="43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7</w:t>
            </w:r>
          </w:p>
        </w:tc>
        <w:tc>
          <w:tcPr>
            <w:tcW w:w="198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粮面电缆</w:t>
            </w:r>
          </w:p>
        </w:tc>
        <w:tc>
          <w:tcPr>
            <w:tcW w:w="141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RVV2*0.5</w:t>
            </w:r>
          </w:p>
        </w:tc>
        <w:tc>
          <w:tcPr>
            <w:tcW w:w="70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米</w:t>
            </w:r>
          </w:p>
        </w:tc>
        <w:tc>
          <w:tcPr>
            <w:tcW w:w="8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1300</w:t>
            </w:r>
          </w:p>
        </w:tc>
        <w:tc>
          <w:tcPr>
            <w:tcW w:w="113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55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55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rPr>
            </w:pPr>
            <w:r>
              <w:rPr>
                <w:rFonts w:hint="eastAsia" w:ascii="宋体" w:hAnsi="宋体" w:cs="宋体"/>
                <w:b/>
                <w:bCs/>
                <w:color w:val="000000"/>
                <w:kern w:val="0"/>
                <w:sz w:val="22"/>
              </w:rPr>
              <w:t>　</w:t>
            </w:r>
          </w:p>
        </w:tc>
      </w:tr>
      <w:tr>
        <w:tblPrEx>
          <w:tblCellMar>
            <w:top w:w="0" w:type="dxa"/>
            <w:left w:w="108" w:type="dxa"/>
            <w:bottom w:w="0" w:type="dxa"/>
            <w:right w:w="108" w:type="dxa"/>
          </w:tblCellMar>
        </w:tblPrEx>
        <w:trPr>
          <w:gridAfter w:val="1"/>
          <w:wAfter w:w="279" w:type="dxa"/>
          <w:trHeight w:val="600" w:hRule="atLeast"/>
        </w:trPr>
        <w:tc>
          <w:tcPr>
            <w:tcW w:w="43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8</w:t>
            </w:r>
          </w:p>
        </w:tc>
        <w:tc>
          <w:tcPr>
            <w:tcW w:w="198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仓内通讯主线</w:t>
            </w:r>
          </w:p>
        </w:tc>
        <w:tc>
          <w:tcPr>
            <w:tcW w:w="141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RVV2*0.5*9</w:t>
            </w:r>
          </w:p>
        </w:tc>
        <w:tc>
          <w:tcPr>
            <w:tcW w:w="70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米</w:t>
            </w:r>
          </w:p>
        </w:tc>
        <w:tc>
          <w:tcPr>
            <w:tcW w:w="8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380</w:t>
            </w:r>
          </w:p>
        </w:tc>
        <w:tc>
          <w:tcPr>
            <w:tcW w:w="113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55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55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rPr>
            </w:pPr>
            <w:r>
              <w:rPr>
                <w:rFonts w:hint="eastAsia" w:ascii="宋体" w:hAnsi="宋体" w:cs="宋体"/>
                <w:b/>
                <w:bCs/>
                <w:color w:val="000000"/>
                <w:kern w:val="0"/>
                <w:sz w:val="22"/>
              </w:rPr>
              <w:t>　</w:t>
            </w:r>
          </w:p>
        </w:tc>
      </w:tr>
      <w:tr>
        <w:tblPrEx>
          <w:tblCellMar>
            <w:top w:w="0" w:type="dxa"/>
            <w:left w:w="108" w:type="dxa"/>
            <w:bottom w:w="0" w:type="dxa"/>
            <w:right w:w="108" w:type="dxa"/>
          </w:tblCellMar>
        </w:tblPrEx>
        <w:trPr>
          <w:gridAfter w:val="1"/>
          <w:wAfter w:w="279" w:type="dxa"/>
          <w:trHeight w:val="600" w:hRule="atLeast"/>
        </w:trPr>
        <w:tc>
          <w:tcPr>
            <w:tcW w:w="43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9</w:t>
            </w:r>
          </w:p>
        </w:tc>
        <w:tc>
          <w:tcPr>
            <w:tcW w:w="198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分机箱</w:t>
            </w:r>
          </w:p>
        </w:tc>
        <w:tc>
          <w:tcPr>
            <w:tcW w:w="141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只</w:t>
            </w:r>
          </w:p>
        </w:tc>
        <w:tc>
          <w:tcPr>
            <w:tcW w:w="8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4</w:t>
            </w:r>
          </w:p>
        </w:tc>
        <w:tc>
          <w:tcPr>
            <w:tcW w:w="113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55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55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rPr>
            </w:pPr>
            <w:r>
              <w:rPr>
                <w:rFonts w:hint="eastAsia" w:ascii="宋体" w:hAnsi="宋体" w:cs="宋体"/>
                <w:b/>
                <w:bCs/>
                <w:color w:val="000000"/>
                <w:kern w:val="0"/>
                <w:sz w:val="22"/>
              </w:rPr>
              <w:t>　</w:t>
            </w:r>
          </w:p>
        </w:tc>
      </w:tr>
      <w:tr>
        <w:tblPrEx>
          <w:tblCellMar>
            <w:top w:w="0" w:type="dxa"/>
            <w:left w:w="108" w:type="dxa"/>
            <w:bottom w:w="0" w:type="dxa"/>
            <w:right w:w="108" w:type="dxa"/>
          </w:tblCellMar>
        </w:tblPrEx>
        <w:trPr>
          <w:gridAfter w:val="1"/>
          <w:wAfter w:w="279" w:type="dxa"/>
          <w:trHeight w:val="600" w:hRule="atLeast"/>
        </w:trPr>
        <w:tc>
          <w:tcPr>
            <w:tcW w:w="43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10</w:t>
            </w:r>
          </w:p>
        </w:tc>
        <w:tc>
          <w:tcPr>
            <w:tcW w:w="198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安装附件</w:t>
            </w:r>
          </w:p>
        </w:tc>
        <w:tc>
          <w:tcPr>
            <w:tcW w:w="141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套</w:t>
            </w:r>
          </w:p>
        </w:tc>
        <w:tc>
          <w:tcPr>
            <w:tcW w:w="8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18</w:t>
            </w:r>
          </w:p>
        </w:tc>
        <w:tc>
          <w:tcPr>
            <w:tcW w:w="113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55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55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rPr>
            </w:pPr>
            <w:r>
              <w:rPr>
                <w:rFonts w:hint="eastAsia" w:ascii="宋体" w:hAnsi="宋体" w:cs="宋体"/>
                <w:b/>
                <w:bCs/>
                <w:color w:val="000000"/>
                <w:kern w:val="0"/>
                <w:sz w:val="22"/>
              </w:rPr>
              <w:t>　</w:t>
            </w:r>
          </w:p>
        </w:tc>
      </w:tr>
      <w:tr>
        <w:tblPrEx>
          <w:tblCellMar>
            <w:top w:w="0" w:type="dxa"/>
            <w:left w:w="108" w:type="dxa"/>
            <w:bottom w:w="0" w:type="dxa"/>
            <w:right w:w="108" w:type="dxa"/>
          </w:tblCellMar>
        </w:tblPrEx>
        <w:trPr>
          <w:gridAfter w:val="1"/>
          <w:wAfter w:w="279" w:type="dxa"/>
          <w:trHeight w:val="600" w:hRule="atLeast"/>
        </w:trPr>
        <w:tc>
          <w:tcPr>
            <w:tcW w:w="43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11</w:t>
            </w:r>
          </w:p>
        </w:tc>
        <w:tc>
          <w:tcPr>
            <w:tcW w:w="198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材料设备合计（A）</w:t>
            </w:r>
          </w:p>
        </w:tc>
        <w:tc>
          <w:tcPr>
            <w:tcW w:w="141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70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i/>
                <w:iCs/>
                <w:color w:val="000000"/>
                <w:kern w:val="0"/>
                <w:sz w:val="22"/>
              </w:rPr>
            </w:pPr>
            <w:r>
              <w:rPr>
                <w:rFonts w:hint="eastAsia" w:ascii="宋体" w:hAnsi="宋体" w:cs="宋体"/>
                <w:i/>
                <w:iCs/>
                <w:color w:val="000000"/>
                <w:kern w:val="0"/>
                <w:sz w:val="22"/>
              </w:rPr>
              <w:t>　</w:t>
            </w:r>
          </w:p>
        </w:tc>
        <w:tc>
          <w:tcPr>
            <w:tcW w:w="8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13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55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55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gridAfter w:val="1"/>
          <w:wAfter w:w="279" w:type="dxa"/>
          <w:trHeight w:val="600" w:hRule="atLeast"/>
        </w:trPr>
        <w:tc>
          <w:tcPr>
            <w:tcW w:w="43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12</w:t>
            </w:r>
          </w:p>
        </w:tc>
        <w:tc>
          <w:tcPr>
            <w:tcW w:w="198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安装调试费(B)</w:t>
            </w:r>
          </w:p>
        </w:tc>
        <w:tc>
          <w:tcPr>
            <w:tcW w:w="141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含运费、安装、</w:t>
            </w:r>
            <w:r>
              <w:rPr>
                <w:rFonts w:hint="eastAsia" w:ascii="宋体" w:hAnsi="宋体" w:cs="宋体"/>
                <w:color w:val="000000"/>
                <w:kern w:val="0"/>
                <w:sz w:val="22"/>
              </w:rPr>
              <w:br w:type="textWrapping"/>
            </w:r>
            <w:r>
              <w:rPr>
                <w:rFonts w:hint="eastAsia" w:ascii="宋体" w:hAnsi="宋体" w:cs="宋体"/>
                <w:color w:val="000000"/>
                <w:kern w:val="0"/>
                <w:sz w:val="22"/>
              </w:rPr>
              <w:t>调试等费</w:t>
            </w:r>
          </w:p>
        </w:tc>
        <w:tc>
          <w:tcPr>
            <w:tcW w:w="70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8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13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55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55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rPr>
          <w:gridAfter w:val="1"/>
          <w:wAfter w:w="279" w:type="dxa"/>
          <w:trHeight w:val="600" w:hRule="atLeast"/>
        </w:trPr>
        <w:tc>
          <w:tcPr>
            <w:tcW w:w="43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13</w:t>
            </w:r>
          </w:p>
        </w:tc>
        <w:tc>
          <w:tcPr>
            <w:tcW w:w="198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工程费用总计(A+B)</w:t>
            </w:r>
          </w:p>
        </w:tc>
        <w:tc>
          <w:tcPr>
            <w:tcW w:w="2126" w:type="dxa"/>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2"/>
              </w:rPr>
            </w:pPr>
            <w:r>
              <w:rPr>
                <w:rFonts w:hint="eastAsia" w:ascii="宋体" w:hAnsi="宋体" w:cs="宋体"/>
                <w:b/>
                <w:bCs/>
                <w:color w:val="000000"/>
                <w:kern w:val="0"/>
                <w:sz w:val="22"/>
              </w:rPr>
              <w:t>　</w:t>
            </w:r>
          </w:p>
        </w:tc>
        <w:tc>
          <w:tcPr>
            <w:tcW w:w="85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13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55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c>
          <w:tcPr>
            <w:tcW w:w="1559"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rPr>
            </w:pPr>
            <w:r>
              <w:rPr>
                <w:rFonts w:hint="eastAsia" w:ascii="宋体" w:hAnsi="宋体" w:cs="宋体"/>
                <w:color w:val="000000"/>
                <w:kern w:val="0"/>
                <w:sz w:val="22"/>
              </w:rPr>
              <w:t>　</w:t>
            </w:r>
          </w:p>
        </w:tc>
      </w:tr>
      <w:tr>
        <w:tblPrEx>
          <w:tblCellMar>
            <w:top w:w="0" w:type="dxa"/>
            <w:left w:w="108" w:type="dxa"/>
            <w:bottom w:w="0" w:type="dxa"/>
            <w:right w:w="108" w:type="dxa"/>
          </w:tblCellMar>
        </w:tblPrEx>
        <w:trPr>
          <w:trHeight w:val="285" w:hRule="atLeast"/>
        </w:trPr>
        <w:tc>
          <w:tcPr>
            <w:tcW w:w="437" w:type="dxa"/>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904" w:type="dxa"/>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1080" w:type="dxa"/>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236" w:type="dxa"/>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558" w:type="dxa"/>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1200" w:type="dxa"/>
            <w:gridSpan w:val="2"/>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1108" w:type="dxa"/>
            <w:gridSpan w:val="3"/>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1327" w:type="dxa"/>
            <w:gridSpan w:val="2"/>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1655" w:type="dxa"/>
            <w:gridSpan w:val="2"/>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1424" w:type="dxa"/>
            <w:gridSpan w:val="2"/>
            <w:tcBorders>
              <w:top w:val="nil"/>
              <w:left w:val="nil"/>
              <w:bottom w:val="nil"/>
              <w:right w:val="nil"/>
            </w:tcBorders>
            <w:shd w:val="clear" w:color="auto" w:fill="auto"/>
            <w:noWrap/>
            <w:vAlign w:val="center"/>
          </w:tcPr>
          <w:p>
            <w:pPr>
              <w:widowControl/>
              <w:jc w:val="left"/>
              <w:rPr>
                <w:rFonts w:ascii="宋体" w:hAnsi="宋体" w:cs="宋体"/>
                <w:kern w:val="0"/>
                <w:sz w:val="24"/>
              </w:rPr>
            </w:pPr>
          </w:p>
        </w:tc>
      </w:tr>
    </w:tbl>
    <w:p>
      <w:pPr>
        <w:autoSpaceDE w:val="0"/>
        <w:autoSpaceDN w:val="0"/>
        <w:adjustRightInd w:val="0"/>
        <w:jc w:val="left"/>
        <w:rPr>
          <w:rFonts w:ascii="宋体" w:hAnsi="宋体"/>
          <w:kern w:val="0"/>
          <w:sz w:val="24"/>
        </w:rPr>
      </w:pPr>
    </w:p>
    <w:p>
      <w:pPr>
        <w:pStyle w:val="18"/>
        <w:sectPr>
          <w:pgSz w:w="11907" w:h="16839"/>
          <w:pgMar w:top="1134" w:right="1134" w:bottom="1134" w:left="1418" w:header="0" w:footer="721" w:gutter="0"/>
          <w:cols w:space="720" w:num="1"/>
          <w:docGrid w:linePitch="286" w:charSpace="0"/>
        </w:sectPr>
      </w:pPr>
    </w:p>
    <w:p>
      <w:pPr>
        <w:spacing w:line="360" w:lineRule="auto"/>
        <w:ind w:firstLine="723" w:firstLineChars="200"/>
        <w:jc w:val="center"/>
        <w:rPr>
          <w:rFonts w:ascii="宋体" w:hAnsi="宋体" w:cs="宋体"/>
          <w:b/>
          <w:bCs/>
          <w:sz w:val="36"/>
          <w:szCs w:val="36"/>
        </w:rPr>
      </w:pPr>
      <w:r>
        <w:rPr>
          <w:rFonts w:hint="eastAsia" w:ascii="宋体" w:hAnsi="宋体" w:cs="宋体"/>
          <w:b/>
          <w:bCs/>
          <w:sz w:val="36"/>
          <w:szCs w:val="36"/>
        </w:rPr>
        <w:t>工艺设备技术规格要求</w:t>
      </w:r>
    </w:p>
    <w:p>
      <w:pPr>
        <w:spacing w:line="440" w:lineRule="exact"/>
        <w:ind w:firstLine="492" w:firstLineChars="175"/>
        <w:jc w:val="center"/>
        <w:rPr>
          <w:rFonts w:ascii="宋体" w:hAnsi="宋体"/>
          <w:b/>
          <w:sz w:val="28"/>
          <w:szCs w:val="28"/>
        </w:rPr>
      </w:pPr>
      <w:r>
        <w:rPr>
          <w:rFonts w:hint="eastAsia" w:ascii="宋体" w:hAnsi="宋体"/>
          <w:b/>
          <w:sz w:val="28"/>
          <w:szCs w:val="28"/>
        </w:rPr>
        <w:t>低温设备配置</w:t>
      </w:r>
    </w:p>
    <w:p>
      <w:pPr>
        <w:autoSpaceDE w:val="0"/>
        <w:autoSpaceDN w:val="0"/>
        <w:adjustRightInd w:val="0"/>
        <w:spacing w:line="400" w:lineRule="atLeast"/>
        <w:textAlignment w:val="baseline"/>
        <w:rPr>
          <w:rFonts w:ascii="宋体" w:hAnsi="Arial"/>
          <w:b/>
          <w:kern w:val="0"/>
          <w:sz w:val="24"/>
        </w:rPr>
      </w:pPr>
      <w:r>
        <w:rPr>
          <w:rFonts w:hint="eastAsia" w:ascii="宋体" w:hAnsi="宋体" w:cs="宋体"/>
          <w:kern w:val="0"/>
          <w:szCs w:val="21"/>
        </w:rPr>
        <w:t>★</w:t>
      </w:r>
      <w:r>
        <w:rPr>
          <w:rFonts w:hint="eastAsia" w:ascii="宋体" w:hAnsi="Arial"/>
          <w:b/>
          <w:kern w:val="0"/>
          <w:sz w:val="24"/>
        </w:rPr>
        <w:t>空调一体机技术要求：</w:t>
      </w:r>
    </w:p>
    <w:p>
      <w:pPr>
        <w:spacing w:line="440" w:lineRule="exact"/>
        <w:rPr>
          <w:rFonts w:ascii="宋体" w:hAnsi="宋体"/>
          <w:sz w:val="24"/>
          <w:szCs w:val="28"/>
        </w:rPr>
      </w:pPr>
      <w:r>
        <w:rPr>
          <w:rFonts w:hint="eastAsia" w:ascii="宋体" w:hAnsi="宋体"/>
          <w:sz w:val="24"/>
          <w:szCs w:val="28"/>
        </w:rPr>
        <w:t>（一）仓储专用空调在制冷系统、控制和送风量等方面在保证制冷降温性能的前提下，充分考虑了节能降耗，其长期运行能耗低于相同制冷能力的民用空调。</w:t>
      </w:r>
    </w:p>
    <w:p>
      <w:pPr>
        <w:spacing w:line="440" w:lineRule="exact"/>
        <w:ind w:firstLine="420" w:firstLineChars="175"/>
        <w:rPr>
          <w:rFonts w:ascii="宋体" w:hAnsi="宋体"/>
          <w:sz w:val="24"/>
          <w:szCs w:val="28"/>
        </w:rPr>
      </w:pPr>
      <w:r>
        <w:rPr>
          <w:rFonts w:hint="eastAsia" w:ascii="宋体" w:hAnsi="宋体"/>
          <w:sz w:val="24"/>
          <w:szCs w:val="28"/>
        </w:rPr>
        <w:t xml:space="preserve"> 1.仓储专有空调采用送风变频控制，根据制冷系统的启停和仓温的变化自动调整送风量，在保证制冷效率和送风均匀的前提下，降低送风机电机的能耗。</w:t>
      </w:r>
    </w:p>
    <w:p>
      <w:pPr>
        <w:spacing w:line="440" w:lineRule="exact"/>
        <w:ind w:firstLine="420" w:firstLineChars="175"/>
        <w:rPr>
          <w:rFonts w:ascii="宋体" w:hAnsi="宋体"/>
          <w:sz w:val="24"/>
          <w:szCs w:val="28"/>
        </w:rPr>
      </w:pPr>
      <w:r>
        <w:rPr>
          <w:rFonts w:hint="eastAsia" w:ascii="宋体" w:hAnsi="宋体"/>
          <w:sz w:val="24"/>
          <w:szCs w:val="28"/>
        </w:rPr>
        <w:t xml:space="preserve"> 2.制冷量大于或等于14.9kW的仓储专用空调，采用双制冷系统设计，划分出两个制冷区间，根据仓温自动选择合理的制冷区间进行节能运行，使其不但满足高温降温和维持仓温两种功能需求，且能降低长期运行能耗。</w:t>
      </w:r>
    </w:p>
    <w:p>
      <w:pPr>
        <w:spacing w:line="440" w:lineRule="exact"/>
        <w:ind w:firstLine="420" w:firstLineChars="175"/>
        <w:rPr>
          <w:rFonts w:ascii="宋体" w:hAnsi="宋体"/>
          <w:sz w:val="24"/>
          <w:szCs w:val="28"/>
        </w:rPr>
      </w:pPr>
      <w:r>
        <w:rPr>
          <w:rFonts w:hint="eastAsia" w:ascii="宋体" w:hAnsi="宋体"/>
          <w:sz w:val="24"/>
          <w:szCs w:val="28"/>
        </w:rPr>
        <w:t>3.仓储专用空调控制采用多种运行模式结合，即：单制冷系统运行模式、双制冷系统运行模式、送风机变频和风门调速，根据适时参数智能判定选择合理的运行模式节能运行。</w:t>
      </w:r>
    </w:p>
    <w:p>
      <w:pPr>
        <w:spacing w:line="440" w:lineRule="exact"/>
        <w:rPr>
          <w:rFonts w:ascii="宋体" w:hAnsi="宋体"/>
          <w:sz w:val="24"/>
          <w:szCs w:val="28"/>
        </w:rPr>
      </w:pPr>
      <w:r>
        <w:rPr>
          <w:rFonts w:hint="eastAsia" w:ascii="宋体" w:hAnsi="宋体"/>
          <w:sz w:val="24"/>
          <w:szCs w:val="28"/>
        </w:rPr>
        <w:t xml:space="preserve">   （二）仓储专用空调的精准控温、高风量和低换热温差设计，保证粮食的低温保湿储藏，仓外冷凝排水量小于1kg/吨粮,即粮食水分减量≤0.1%/年。</w:t>
      </w:r>
    </w:p>
    <w:p>
      <w:pPr>
        <w:spacing w:line="440" w:lineRule="exact"/>
        <w:ind w:firstLine="420" w:firstLineChars="175"/>
        <w:rPr>
          <w:rFonts w:ascii="宋体" w:hAnsi="宋体"/>
          <w:sz w:val="24"/>
          <w:szCs w:val="28"/>
        </w:rPr>
      </w:pPr>
      <w:r>
        <w:rPr>
          <w:rFonts w:hint="eastAsia" w:ascii="宋体" w:hAnsi="宋体"/>
          <w:sz w:val="24"/>
          <w:szCs w:val="28"/>
        </w:rPr>
        <w:t xml:space="preserve"> 1.仓储专用空调的五线温度控制，克服了制冷系统的停机惯性和启机滞后性，控温更加精准，即仓顶空气温度振幅在2℃内，更好地控制粮温，抑制粮食呼吸作用的强度和酶的活性；</w:t>
      </w:r>
    </w:p>
    <w:p>
      <w:pPr>
        <w:spacing w:line="440" w:lineRule="exact"/>
        <w:ind w:firstLine="420" w:firstLineChars="175"/>
        <w:rPr>
          <w:rFonts w:ascii="宋体" w:hAnsi="宋体"/>
          <w:sz w:val="24"/>
          <w:szCs w:val="28"/>
        </w:rPr>
      </w:pPr>
      <w:r>
        <w:rPr>
          <w:rFonts w:hint="eastAsia" w:ascii="宋体" w:hAnsi="宋体"/>
          <w:sz w:val="24"/>
          <w:szCs w:val="28"/>
        </w:rPr>
        <w:t xml:space="preserve"> 2.仓储专用空调采用高风量、低换热温差的设计，有效降低制冷过程中的除湿。</w:t>
      </w:r>
    </w:p>
    <w:p>
      <w:pPr>
        <w:spacing w:line="440" w:lineRule="exact"/>
        <w:ind w:firstLine="420" w:firstLineChars="175"/>
        <w:rPr>
          <w:rFonts w:ascii="宋体" w:hAnsi="宋体"/>
          <w:sz w:val="24"/>
          <w:szCs w:val="28"/>
        </w:rPr>
      </w:pPr>
      <w:r>
        <w:rPr>
          <w:rFonts w:hint="eastAsia" w:ascii="宋体" w:hAnsi="宋体"/>
          <w:sz w:val="24"/>
          <w:szCs w:val="28"/>
        </w:rPr>
        <w:t>仓储专用空调采用均布多点温度采集判断方式和高风量、远射程风机送风，保证粮堆顶部空气温度长期保持均匀。</w:t>
      </w:r>
    </w:p>
    <w:p>
      <w:pPr>
        <w:spacing w:line="440" w:lineRule="exact"/>
        <w:ind w:firstLine="420" w:firstLineChars="175"/>
        <w:rPr>
          <w:rFonts w:ascii="宋体" w:hAnsi="宋体"/>
          <w:sz w:val="24"/>
          <w:szCs w:val="28"/>
        </w:rPr>
      </w:pPr>
      <w:r>
        <w:rPr>
          <w:rFonts w:hint="eastAsia" w:ascii="宋体" w:hAnsi="宋体"/>
          <w:sz w:val="24"/>
          <w:szCs w:val="28"/>
        </w:rPr>
        <w:t xml:space="preserve"> 3.仓储专用空调采用均布多点温度采集方式，更好地监控仓顶空气温度；</w:t>
      </w:r>
    </w:p>
    <w:p>
      <w:pPr>
        <w:spacing w:line="440" w:lineRule="exact"/>
        <w:ind w:firstLine="420" w:firstLineChars="175"/>
        <w:rPr>
          <w:rFonts w:ascii="宋体" w:hAnsi="宋体"/>
          <w:sz w:val="24"/>
          <w:szCs w:val="28"/>
        </w:rPr>
      </w:pPr>
      <w:r>
        <w:rPr>
          <w:rFonts w:hint="eastAsia" w:ascii="宋体" w:hAnsi="宋体"/>
          <w:sz w:val="24"/>
          <w:szCs w:val="28"/>
        </w:rPr>
        <w:t xml:space="preserve"> 4.仓储专用空调的采用高风量、出风口射程不小于20m，充分搅动仓顶空气，使粮堆顶部空气温度均匀，不会出现局部高温。</w:t>
      </w:r>
    </w:p>
    <w:p>
      <w:pPr>
        <w:spacing w:line="440" w:lineRule="exact"/>
        <w:ind w:firstLine="420" w:firstLineChars="175"/>
        <w:rPr>
          <w:rFonts w:ascii="宋体" w:hAnsi="宋体"/>
          <w:sz w:val="24"/>
          <w:szCs w:val="28"/>
        </w:rPr>
      </w:pPr>
      <w:r>
        <w:rPr>
          <w:rFonts w:hint="eastAsia" w:ascii="宋体" w:hAnsi="宋体"/>
          <w:sz w:val="24"/>
          <w:szCs w:val="28"/>
        </w:rPr>
        <w:t xml:space="preserve"> 5.仓储专用空调控温精确性和均匀性，避免了局部出现结露现象。依据露点温差规则，仓顶空气温度与粮面和粮堆各自的温差严格控制在小于6~7℃以内。</w:t>
      </w:r>
    </w:p>
    <w:p>
      <w:pPr>
        <w:spacing w:line="440" w:lineRule="exact"/>
        <w:ind w:firstLine="420" w:firstLineChars="175"/>
        <w:rPr>
          <w:rFonts w:ascii="宋体" w:hAnsi="宋体"/>
          <w:sz w:val="24"/>
          <w:szCs w:val="28"/>
        </w:rPr>
      </w:pPr>
      <w:r>
        <w:rPr>
          <w:rFonts w:hint="eastAsia" w:ascii="宋体" w:hAnsi="宋体"/>
          <w:sz w:val="24"/>
          <w:szCs w:val="28"/>
        </w:rPr>
        <w:t xml:space="preserve"> 6.仓储专用空调的送风和回风口均装有初效过滤网，不但结构设计合理，便用拆卸和清洗，且回风过滤网设有压差报警，避免因脏堵而造成制冷效率下降和能耗的增加。</w:t>
      </w:r>
    </w:p>
    <w:p>
      <w:pPr>
        <w:spacing w:line="440" w:lineRule="exact"/>
        <w:ind w:firstLine="420" w:firstLineChars="175"/>
        <w:rPr>
          <w:rFonts w:ascii="宋体" w:hAnsi="宋体"/>
          <w:sz w:val="24"/>
          <w:szCs w:val="28"/>
        </w:rPr>
      </w:pPr>
      <w:r>
        <w:rPr>
          <w:rFonts w:hint="eastAsia" w:ascii="宋体" w:hAnsi="宋体"/>
          <w:sz w:val="24"/>
          <w:szCs w:val="28"/>
        </w:rPr>
        <w:t xml:space="preserve"> 7.仓储专用空调的主要零部件采用高端品牌配置，整机壳体采用不锈钢304材质或镀锌板表面喷塑处理，保证了长期运行的可靠性和安全性，整机使用寿命不小于10年。</w:t>
      </w:r>
    </w:p>
    <w:p>
      <w:pPr>
        <w:spacing w:line="440" w:lineRule="exact"/>
        <w:ind w:firstLine="420" w:firstLineChars="175"/>
        <w:rPr>
          <w:rFonts w:ascii="宋体" w:hAnsi="宋体"/>
          <w:sz w:val="24"/>
          <w:szCs w:val="28"/>
        </w:rPr>
      </w:pPr>
      <w:r>
        <w:rPr>
          <w:rFonts w:hint="eastAsia" w:ascii="宋体" w:hAnsi="宋体"/>
          <w:sz w:val="24"/>
          <w:szCs w:val="28"/>
        </w:rPr>
        <w:t xml:space="preserve"> 8.仓储专用空调具有手动和自动两种控制操作方式。且有能耗监控报警功能，即当空调制冷机正常工作一段时间，能效比低于设计值10%时，设备应有提示报警；当设备能效比低于设计值20%时，设备应有二级报警；当设备能效比低于设计值30%时，应停机保护。停机保护时设备自动提示故障部位。</w:t>
      </w:r>
    </w:p>
    <w:p>
      <w:pPr>
        <w:spacing w:line="440" w:lineRule="exact"/>
        <w:ind w:firstLine="420" w:firstLineChars="175"/>
        <w:rPr>
          <w:rFonts w:ascii="宋体" w:hAnsi="宋体"/>
          <w:sz w:val="24"/>
          <w:szCs w:val="28"/>
        </w:rPr>
      </w:pPr>
      <w:r>
        <w:rPr>
          <w:rFonts w:hint="eastAsia" w:ascii="宋体" w:hAnsi="宋体"/>
          <w:sz w:val="24"/>
          <w:szCs w:val="28"/>
        </w:rPr>
        <w:t xml:space="preserve"> 9.</w:t>
      </w:r>
      <w:bookmarkStart w:id="6" w:name="_Toc421618811"/>
      <w:r>
        <w:rPr>
          <w:rFonts w:hint="eastAsia" w:ascii="宋体" w:hAnsi="宋体"/>
          <w:sz w:val="24"/>
          <w:szCs w:val="28"/>
        </w:rPr>
        <w:t>仓储专用空调设有制冷系统高/低压报警、过滤网压差报警、电源错相和缺相、压缩机、送风机、冷凝风机过载、过热保护。</w:t>
      </w:r>
    </w:p>
    <w:bookmarkEnd w:id="6"/>
    <w:p>
      <w:pPr>
        <w:pStyle w:val="8"/>
        <w:jc w:val="center"/>
        <w:rPr>
          <w:b/>
        </w:rPr>
      </w:pPr>
      <w:r>
        <w:rPr>
          <w:rFonts w:hint="eastAsia"/>
          <w:b/>
        </w:rPr>
        <w:t>环流熏蒸、粮情测温系统</w:t>
      </w:r>
    </w:p>
    <w:p>
      <w:pPr>
        <w:pStyle w:val="8"/>
        <w:jc w:val="left"/>
        <w:rPr>
          <w:sz w:val="24"/>
        </w:rPr>
      </w:pPr>
      <w:r>
        <w:rPr>
          <w:rFonts w:hint="eastAsia"/>
          <w:b/>
          <w:sz w:val="24"/>
        </w:rPr>
        <w:t xml:space="preserve"> 1.</w:t>
      </w:r>
      <w:r>
        <w:rPr>
          <w:rFonts w:hint="eastAsia" w:hAnsi="宋体" w:cs="宋体"/>
          <w:szCs w:val="21"/>
        </w:rPr>
        <w:t xml:space="preserve"> ★</w:t>
      </w:r>
      <w:r>
        <w:rPr>
          <w:rFonts w:hint="eastAsia" w:hAnsi="宋体"/>
          <w:b/>
          <w:sz w:val="24"/>
          <w:szCs w:val="28"/>
        </w:rPr>
        <w:t>环流熏蒸风机：</w:t>
      </w:r>
    </w:p>
    <w:p>
      <w:pPr>
        <w:spacing w:line="440" w:lineRule="exact"/>
        <w:ind w:firstLine="420" w:firstLineChars="175"/>
        <w:rPr>
          <w:rFonts w:ascii="宋体" w:hAnsi="宋体"/>
          <w:sz w:val="24"/>
          <w:szCs w:val="28"/>
        </w:rPr>
      </w:pPr>
      <w:r>
        <w:rPr>
          <w:rFonts w:hint="eastAsia" w:ascii="宋体" w:hAnsi="宋体"/>
          <w:sz w:val="24"/>
          <w:szCs w:val="28"/>
        </w:rPr>
        <w:t>要求采用风量1000 m3/h，全压1000pa,功率：0.75kw，机壳304不锈钢叶轮铝合金防燃爆制造，不漏气。具有防泄漏、防爆电机和抗磷化气腐蚀性能的粮食熏蒸专用离心风机。</w:t>
      </w:r>
    </w:p>
    <w:p>
      <w:pPr>
        <w:spacing w:line="440" w:lineRule="exact"/>
        <w:ind w:firstLine="240" w:firstLineChars="100"/>
        <w:rPr>
          <w:rFonts w:ascii="宋体" w:hAnsi="宋体"/>
          <w:sz w:val="24"/>
          <w:szCs w:val="28"/>
        </w:rPr>
      </w:pPr>
      <w:r>
        <w:rPr>
          <w:rFonts w:hint="eastAsia" w:ascii="宋体" w:hAnsi="宋体"/>
          <w:sz w:val="24"/>
          <w:szCs w:val="28"/>
        </w:rPr>
        <w:t>环流熏蒸风机必须符合国家、行业有关规范和本次设计的要求，须为防雨水、防尘、防泄漏、防爆和抗磷化气腐蚀的粮食熏蒸专用离心风机，风机装配部分采用密封工艺，材料应为耐PH3腐蚀的不锈钢。风机进出口应以不锈钢波纹管连接，风机支架需牢固可靠，风机与支架连接处需有减震措施，以确保风机工作时运行平稳，风机（含电机）应设防雨罩。</w:t>
      </w:r>
    </w:p>
    <w:p>
      <w:pPr>
        <w:spacing w:line="440" w:lineRule="exact"/>
        <w:ind w:firstLine="240" w:firstLineChars="100"/>
        <w:rPr>
          <w:rFonts w:ascii="宋体" w:hAnsi="宋体"/>
          <w:sz w:val="24"/>
          <w:szCs w:val="28"/>
        </w:rPr>
      </w:pPr>
      <w:r>
        <w:rPr>
          <w:rFonts w:hint="eastAsia" w:ascii="宋体" w:hAnsi="宋体"/>
          <w:sz w:val="24"/>
          <w:szCs w:val="28"/>
        </w:rPr>
        <w:t>须提供相关证书（含设计图片和简要说明 ）、国家知识官网查询截图</w:t>
      </w:r>
    </w:p>
    <w:p>
      <w:pPr>
        <w:spacing w:line="440" w:lineRule="exact"/>
        <w:ind w:firstLine="241" w:firstLineChars="100"/>
        <w:jc w:val="left"/>
        <w:rPr>
          <w:rFonts w:ascii="宋体" w:hAnsi="宋体"/>
          <w:sz w:val="24"/>
          <w:szCs w:val="28"/>
        </w:rPr>
      </w:pPr>
      <w:r>
        <w:rPr>
          <w:rFonts w:hint="eastAsia" w:ascii="宋体" w:hAnsi="宋体"/>
          <w:b/>
          <w:sz w:val="24"/>
          <w:szCs w:val="28"/>
        </w:rPr>
        <w:t>2.环流固定管路：</w:t>
      </w:r>
    </w:p>
    <w:p>
      <w:pPr>
        <w:spacing w:line="440" w:lineRule="exact"/>
        <w:ind w:firstLine="420" w:firstLineChars="175"/>
        <w:rPr>
          <w:rFonts w:ascii="宋体" w:hAnsi="宋体"/>
          <w:sz w:val="24"/>
          <w:szCs w:val="28"/>
        </w:rPr>
      </w:pPr>
      <w:r>
        <w:rPr>
          <w:rFonts w:hint="eastAsia" w:ascii="宋体" w:hAnsi="宋体"/>
          <w:sz w:val="24"/>
          <w:szCs w:val="28"/>
        </w:rPr>
        <w:t>环流机固定管路材料采用不锈钢304无缝管Ф108-89*2mm、内装Ф108-89不锈钢焊阀、法兰、弯头、三通等制作。</w:t>
      </w:r>
    </w:p>
    <w:p>
      <w:pPr>
        <w:spacing w:line="440" w:lineRule="exact"/>
        <w:ind w:firstLine="420" w:firstLineChars="175"/>
        <w:rPr>
          <w:rFonts w:ascii="宋体" w:hAnsi="宋体"/>
          <w:sz w:val="24"/>
          <w:szCs w:val="28"/>
        </w:rPr>
      </w:pPr>
      <w:r>
        <w:rPr>
          <w:rFonts w:hint="eastAsia" w:ascii="宋体" w:hAnsi="宋体"/>
          <w:sz w:val="24"/>
          <w:szCs w:val="28"/>
        </w:rPr>
        <w:t>除严格按照施工图纸及国家、行业有关规范制作安装以外，还应符合以下规定：</w:t>
      </w:r>
    </w:p>
    <w:p>
      <w:pPr>
        <w:spacing w:line="440" w:lineRule="exact"/>
        <w:ind w:firstLine="420" w:firstLineChars="175"/>
        <w:rPr>
          <w:rFonts w:ascii="宋体" w:hAnsi="宋体"/>
          <w:sz w:val="24"/>
          <w:szCs w:val="28"/>
        </w:rPr>
      </w:pPr>
      <w:r>
        <w:rPr>
          <w:rFonts w:hint="eastAsia" w:ascii="宋体" w:hAnsi="宋体"/>
          <w:sz w:val="24"/>
          <w:szCs w:val="28"/>
        </w:rPr>
        <w:t>允许偏差5L‰，最大30㎜；施药口(1.5mm厚不锈钢)设在仓外环流管路的正压端，并同时适用两种施药装置；金属管道间连接采用翻边法兰方式或焊接方式，并符合GB50235的规定；管道法兰用的非金属垫片，符合GB50235-1997的规定；环流管路上的施药箱能容纳环流装置和施药装置的接口和阀门等部件，并有保护各部件不受日晒、雨淋功能；管路上要设置气体取样口，方便取样。</w:t>
      </w:r>
    </w:p>
    <w:p>
      <w:pPr>
        <w:spacing w:line="440" w:lineRule="exact"/>
        <w:ind w:firstLine="420" w:firstLineChars="175"/>
        <w:rPr>
          <w:rFonts w:ascii="宋体" w:hAnsi="宋体"/>
          <w:sz w:val="24"/>
          <w:szCs w:val="28"/>
        </w:rPr>
      </w:pPr>
      <w:r>
        <w:rPr>
          <w:rFonts w:hint="eastAsia" w:ascii="宋体" w:hAnsi="宋体"/>
          <w:sz w:val="24"/>
          <w:szCs w:val="28"/>
        </w:rPr>
        <w:t>管路上要设置气体取样口，方便取样。</w:t>
      </w:r>
    </w:p>
    <w:p>
      <w:pPr>
        <w:spacing w:line="440" w:lineRule="exact"/>
        <w:rPr>
          <w:rFonts w:ascii="宋体" w:hAnsi="宋体"/>
          <w:b/>
          <w:bCs/>
          <w:sz w:val="24"/>
          <w:szCs w:val="28"/>
        </w:rPr>
      </w:pPr>
      <w:r>
        <w:rPr>
          <w:rFonts w:hint="eastAsia" w:ascii="宋体" w:hAnsi="宋体"/>
          <w:b/>
          <w:bCs/>
          <w:sz w:val="24"/>
          <w:szCs w:val="28"/>
        </w:rPr>
        <w:t xml:space="preserve"> 3.气体取样装置：</w:t>
      </w:r>
    </w:p>
    <w:p>
      <w:pPr>
        <w:spacing w:line="440" w:lineRule="exact"/>
        <w:ind w:firstLine="480" w:firstLineChars="200"/>
        <w:rPr>
          <w:rFonts w:ascii="宋体" w:hAnsi="宋体"/>
          <w:sz w:val="24"/>
          <w:szCs w:val="28"/>
        </w:rPr>
      </w:pPr>
      <w:r>
        <w:rPr>
          <w:rFonts w:hint="eastAsia" w:ascii="宋体" w:hAnsi="宋体"/>
          <w:sz w:val="24"/>
          <w:szCs w:val="28"/>
        </w:rPr>
        <w:t>气体取样装置和浓度检测仪等组成，气体取样装置由取样头、收集管路、取样阀、检测箱组成。取样端头防止堵塞；气体取样管应选用柔性塑料或橡胶管，内径不小于2㎜；管壁厚不小于1㎜。取样泵能力满足气体取样距离≥45M。取样管及回气管穿墙采用法兰或螺纹密封方式。取样管根数与取样点一致，并编号。</w:t>
      </w:r>
    </w:p>
    <w:p>
      <w:pPr>
        <w:spacing w:line="360" w:lineRule="auto"/>
        <w:rPr>
          <w:sz w:val="24"/>
        </w:rPr>
      </w:pPr>
      <w:r>
        <w:rPr>
          <w:rFonts w:hint="eastAsia"/>
          <w:sz w:val="24"/>
        </w:rPr>
        <w:t>检测箱(1.5mm厚不锈钢)固定在仓房外方便检测的墙壁上，并对每根取样管单独设置阀门，阀门的编号与预留在仓内的取样管编号一致。</w:t>
      </w:r>
    </w:p>
    <w:p>
      <w:pPr>
        <w:spacing w:line="360" w:lineRule="auto"/>
        <w:rPr>
          <w:b/>
          <w:sz w:val="24"/>
        </w:rPr>
      </w:pPr>
      <w:r>
        <w:rPr>
          <w:rFonts w:hint="eastAsia"/>
          <w:b/>
          <w:sz w:val="24"/>
        </w:rPr>
        <w:t>4.智能粮情测控系统</w:t>
      </w:r>
    </w:p>
    <w:p>
      <w:pPr>
        <w:spacing w:line="360" w:lineRule="auto"/>
        <w:rPr>
          <w:sz w:val="24"/>
        </w:rPr>
      </w:pPr>
      <w:r>
        <w:rPr>
          <w:rFonts w:hint="eastAsia"/>
          <w:sz w:val="24"/>
        </w:rPr>
        <w:t>a.</w:t>
      </w:r>
      <w:r>
        <w:rPr>
          <w:sz w:val="24"/>
        </w:rPr>
        <w:t>测控主机测控主机通过标准接口与计算机或云端服务器通信，可配置多种网络接口（如LAN、WIFI、3G、4G等），测控主机与测控分机之间可通过有线</w:t>
      </w:r>
      <w:r>
        <w:rPr>
          <w:rFonts w:hint="eastAsia"/>
          <w:sz w:val="24"/>
        </w:rPr>
        <w:t>、</w:t>
      </w:r>
      <w:r>
        <w:rPr>
          <w:sz w:val="24"/>
        </w:rPr>
        <w:t>无线</w:t>
      </w:r>
      <w:r>
        <w:rPr>
          <w:rFonts w:hint="eastAsia"/>
          <w:sz w:val="24"/>
        </w:rPr>
        <w:t>或两者混合</w:t>
      </w:r>
      <w:r>
        <w:rPr>
          <w:sz w:val="24"/>
        </w:rPr>
        <w:t>方式进行</w:t>
      </w:r>
      <w:r>
        <w:rPr>
          <w:rFonts w:hint="eastAsia"/>
          <w:sz w:val="24"/>
        </w:rPr>
        <w:t>组网</w:t>
      </w:r>
      <w:r>
        <w:rPr>
          <w:sz w:val="24"/>
        </w:rPr>
        <w:t>，有线通信距离大于3公里，无线通信距离大于5公里，实时/定时检测；可连接测控分机</w:t>
      </w:r>
      <w:r>
        <w:rPr>
          <w:rFonts w:hint="eastAsia"/>
          <w:sz w:val="24"/>
        </w:rPr>
        <w:t>数不少于200台</w:t>
      </w:r>
      <w:r>
        <w:rPr>
          <w:sz w:val="24"/>
        </w:rPr>
        <w:t>，最大数据采集能力不少于320000点</w:t>
      </w:r>
      <w:r>
        <w:rPr>
          <w:rFonts w:hint="eastAsia"/>
          <w:sz w:val="24"/>
        </w:rPr>
        <w:t>（</w:t>
      </w:r>
      <w:r>
        <w:rPr>
          <w:sz w:val="24"/>
        </w:rPr>
        <w:t>粮温点、</w:t>
      </w:r>
      <w:r>
        <w:rPr>
          <w:rFonts w:hint="eastAsia"/>
          <w:sz w:val="24"/>
        </w:rPr>
        <w:t>空气</w:t>
      </w:r>
      <w:r>
        <w:rPr>
          <w:sz w:val="24"/>
        </w:rPr>
        <w:t>温湿度点等所有检测点</w:t>
      </w:r>
      <w:r>
        <w:rPr>
          <w:rFonts w:hint="eastAsia"/>
          <w:sz w:val="24"/>
        </w:rPr>
        <w:t>的</w:t>
      </w:r>
      <w:r>
        <w:rPr>
          <w:sz w:val="24"/>
        </w:rPr>
        <w:t>总容量</w:t>
      </w:r>
      <w:r>
        <w:rPr>
          <w:rFonts w:hint="eastAsia"/>
          <w:sz w:val="24"/>
        </w:rPr>
        <w:t>）</w:t>
      </w:r>
      <w:r>
        <w:rPr>
          <w:sz w:val="24"/>
        </w:rPr>
        <w:t>。</w:t>
      </w:r>
    </w:p>
    <w:p>
      <w:pPr>
        <w:spacing w:line="360" w:lineRule="auto"/>
        <w:rPr>
          <w:sz w:val="24"/>
        </w:rPr>
      </w:pPr>
      <w:r>
        <w:rPr>
          <w:rFonts w:hint="eastAsia"/>
          <w:sz w:val="24"/>
        </w:rPr>
        <w:t>b.测温电缆</w:t>
      </w:r>
      <w:r>
        <w:rPr>
          <w:sz w:val="24"/>
        </w:rPr>
        <w:t>数字测温电缆总成（包括粮面下的数字测温电缆及粮面上的引线）所用的外绝缘和护套材料、内线芯绝缘和护套材料、连接部件、接插件，均须采用高品质的低压高密度聚乙烯100%原生料做绝缘护套，芯线采用0.18mm×11截面积为0.3mm</w:t>
      </w:r>
      <w:r>
        <w:rPr>
          <w:sz w:val="24"/>
          <w:vertAlign w:val="superscript"/>
        </w:rPr>
        <w:t>2</w:t>
      </w:r>
      <w:r>
        <w:rPr>
          <w:sz w:val="24"/>
        </w:rPr>
        <w:t>的镀锡铜丝为导体，需另增加一根0.2mm</w:t>
      </w:r>
      <w:r>
        <w:rPr>
          <w:sz w:val="24"/>
          <w:vertAlign w:val="superscript"/>
        </w:rPr>
        <w:t>2</w:t>
      </w:r>
      <w:r>
        <w:rPr>
          <w:sz w:val="24"/>
        </w:rPr>
        <w:t>的芯线抗拉钢丝，合股后焊接在温度传感器的电路板上，传感器焊接在PCB板上用胶密封，密封好的温度传感器电路板和镀锡铜丝导体结合处需整体用绝缘漆涂三遍，具有防水、防潮湿、防磷化氢气体等腐蚀作用，使用环境：-40</w:t>
      </w:r>
      <w:r>
        <w:rPr>
          <w:rFonts w:hint="eastAsia" w:hAnsi="宋体" w:cs="宋体"/>
          <w:sz w:val="24"/>
        </w:rPr>
        <w:t>℃</w:t>
      </w:r>
      <w:r>
        <w:rPr>
          <w:sz w:val="24"/>
        </w:rPr>
        <w:t>～ +85</w:t>
      </w:r>
      <w:r>
        <w:rPr>
          <w:rFonts w:hint="eastAsia" w:hAnsi="宋体" w:cs="宋体"/>
          <w:sz w:val="24"/>
        </w:rPr>
        <w:t>℃</w:t>
      </w:r>
      <w:r>
        <w:rPr>
          <w:sz w:val="24"/>
        </w:rPr>
        <w:t>，测温电缆采用直径为1.5mm的镀锌抗拉力钢丝绳、保证破断拉力不低于260kg。电缆自带密封插头，采用模具一次成型；和测控分机之间的连接采用专用密封防水防腐插头（IP66）。</w:t>
      </w:r>
    </w:p>
    <w:p>
      <w:pPr>
        <w:pStyle w:val="8"/>
        <w:spacing w:line="360" w:lineRule="auto"/>
        <w:ind w:firstLine="530" w:firstLineChars="221"/>
        <w:rPr>
          <w:sz w:val="24"/>
        </w:rPr>
      </w:pPr>
      <w:r>
        <w:rPr>
          <w:sz w:val="24"/>
        </w:rPr>
        <w:t>导线均应采用符合GB/T 3048-2007《电线电缆电性能试验方法》、GB/T 5023 -2008《额定电压450/750V及以下聚氯乙烯绝缘电缆》标准的(无杂质)全铜镀锡线；符合GB/T 2951-2008《电缆绝缘和护套材料通用试验方法》，连续完整，无缺陷，表面平整光滑，厚度均匀；抗拉钢丝绳符合YB/T5197-2005《航空用钢丝绳》标准；为防止熏蒸腐蚀，连接件、接插件须符合GB/T4942.2-1993《低压电器外壳防护等级》中的IP66，仓内电缆及设备均通过防熏蒸测试；根据地域情况或（区别）适当提高要求；线芯颜色符合GB/T 6995-2008《电线电缆识别标志方法》的规定，各线芯采用不同颜色区分。</w:t>
      </w:r>
    </w:p>
    <w:p>
      <w:pPr>
        <w:autoSpaceDE w:val="0"/>
        <w:autoSpaceDN w:val="0"/>
        <w:adjustRightInd w:val="0"/>
        <w:spacing w:line="360" w:lineRule="auto"/>
        <w:ind w:firstLine="480" w:firstLineChars="200"/>
        <w:rPr>
          <w:rFonts w:ascii="宋体" w:hAnsi="宋体" w:cs="宋体"/>
          <w:sz w:val="24"/>
        </w:rPr>
      </w:pPr>
      <w:r>
        <w:rPr>
          <w:rFonts w:hint="eastAsia" w:ascii="宋体" w:hAnsi="宋体" w:cs="宋体"/>
          <w:sz w:val="24"/>
        </w:rPr>
        <w:t>数字测温电缆采用二线制数据结构，安装方便，互换性好，满足抗拉、抗压、抗老化、耐低温的使用要求，测温电缆端头密闭严密。数字测温电缆满足防潮、防水、防尘、防气体、抗拉、抗压、抗老化、抗腐蚀、耐低温等使用要求。</w:t>
      </w:r>
    </w:p>
    <w:p>
      <w:pPr>
        <w:spacing w:line="360" w:lineRule="auto"/>
        <w:rPr>
          <w:sz w:val="24"/>
        </w:rPr>
      </w:pPr>
      <w:r>
        <w:rPr>
          <w:rFonts w:hint="eastAsia"/>
          <w:sz w:val="24"/>
        </w:rPr>
        <w:t>c.软件要求</w:t>
      </w:r>
    </w:p>
    <w:p>
      <w:pPr>
        <w:spacing w:line="360" w:lineRule="auto"/>
        <w:ind w:firstLine="470" w:firstLineChars="196"/>
        <w:rPr>
          <w:sz w:val="24"/>
        </w:rPr>
      </w:pPr>
      <w:r>
        <w:rPr>
          <w:rFonts w:hint="eastAsia"/>
          <w:sz w:val="24"/>
        </w:rPr>
        <w:t>云服务器后台管理软件须经过省级及以上第三方机构的专业鉴定，跨平台客户端软件</w:t>
      </w:r>
      <w:r>
        <w:rPr>
          <w:sz w:val="24"/>
        </w:rPr>
        <w:t>支持WINDOWS</w:t>
      </w:r>
      <w:r>
        <w:rPr>
          <w:rFonts w:hint="eastAsia"/>
          <w:sz w:val="24"/>
        </w:rPr>
        <w:t>、安卓和IOS</w:t>
      </w:r>
      <w:r>
        <w:rPr>
          <w:sz w:val="24"/>
        </w:rPr>
        <w:t>操作系统，数据库系统采用关系型数据库，具备合法授权。应用软件为中文</w:t>
      </w:r>
      <w:r>
        <w:rPr>
          <w:rFonts w:hint="eastAsia"/>
          <w:sz w:val="24"/>
        </w:rPr>
        <w:t>版</w:t>
      </w:r>
      <w:r>
        <w:rPr>
          <w:sz w:val="24"/>
        </w:rPr>
        <w:t>，符合国家标准或国际标准程序设计语言，界面友好。数据传输接口和数据通信协议采用中储粮总公司制定的《粮油储藏粮情测控系统第4部分：信息交换接口协议》标准，采用统一的</w:t>
      </w:r>
      <w:r>
        <w:rPr>
          <w:rFonts w:hint="eastAsia"/>
          <w:sz w:val="24"/>
        </w:rPr>
        <w:t>“</w:t>
      </w:r>
      <w:r>
        <w:rPr>
          <w:sz w:val="24"/>
        </w:rPr>
        <w:t>中央储备粮粮情测控开放式</w:t>
      </w:r>
      <w:r>
        <w:rPr>
          <w:rFonts w:hint="eastAsia"/>
          <w:sz w:val="24"/>
        </w:rPr>
        <w:t>”</w:t>
      </w:r>
      <w:r>
        <w:rPr>
          <w:sz w:val="24"/>
        </w:rPr>
        <w:t>，满足用户业务管理信息系统和粮情监控系统的各项要求。</w:t>
      </w:r>
    </w:p>
    <w:p>
      <w:pPr>
        <w:spacing w:beforeLines="50" w:line="360" w:lineRule="auto"/>
        <w:rPr>
          <w:rFonts w:ascii="宋体" w:hAnsi="宋体" w:cs="宋体"/>
          <w:b/>
          <w:color w:val="000000"/>
          <w:kern w:val="0"/>
          <w:sz w:val="24"/>
        </w:rPr>
      </w:pPr>
      <w:r>
        <w:rPr>
          <w:rFonts w:hint="eastAsia" w:ascii="宋体" w:hAnsi="宋体" w:cs="宋体"/>
          <w:b/>
          <w:color w:val="000000"/>
          <w:kern w:val="0"/>
          <w:sz w:val="24"/>
        </w:rPr>
        <w:t>5.</w:t>
      </w:r>
      <w:r>
        <w:rPr>
          <w:rFonts w:ascii="宋体" w:hAnsi="宋体" w:cs="宋体"/>
          <w:b/>
          <w:color w:val="000000"/>
          <w:kern w:val="0"/>
          <w:sz w:val="24"/>
        </w:rPr>
        <w:t>粮面</w:t>
      </w:r>
      <w:r>
        <w:rPr>
          <w:rFonts w:hint="eastAsia" w:ascii="宋体" w:hAnsi="宋体" w:cs="宋体"/>
          <w:b/>
          <w:color w:val="000000"/>
          <w:kern w:val="0"/>
          <w:sz w:val="24"/>
        </w:rPr>
        <w:t>走道板:</w:t>
      </w:r>
    </w:p>
    <w:p>
      <w:pPr>
        <w:spacing w:beforeLines="50" w:line="360" w:lineRule="auto"/>
        <w:rPr>
          <w:rFonts w:ascii="宋体" w:hAnsi="宋体"/>
          <w:sz w:val="24"/>
        </w:rPr>
      </w:pPr>
      <w:r>
        <w:rPr>
          <w:rFonts w:hint="eastAsia" w:ascii="宋体" w:hAnsi="宋体" w:cs="宋体"/>
          <w:color w:val="000000"/>
          <w:kern w:val="0"/>
          <w:sz w:val="24"/>
        </w:rPr>
        <w:t xml:space="preserve">   主要</w:t>
      </w:r>
      <w:r>
        <w:rPr>
          <w:rFonts w:ascii="宋体" w:hAnsi="宋体" w:cs="宋体"/>
          <w:color w:val="000000"/>
          <w:kern w:val="0"/>
          <w:sz w:val="24"/>
        </w:rPr>
        <w:t>以</w:t>
      </w:r>
      <w:r>
        <w:rPr>
          <w:rFonts w:hint="eastAsia" w:ascii="宋体" w:hAnsi="宋体" w:cs="宋体"/>
          <w:color w:val="000000"/>
          <w:kern w:val="0"/>
          <w:sz w:val="24"/>
        </w:rPr>
        <w:t>PE新型材料为</w:t>
      </w:r>
      <w:r>
        <w:rPr>
          <w:rFonts w:ascii="宋体" w:hAnsi="宋体" w:cs="宋体"/>
          <w:color w:val="000000"/>
          <w:kern w:val="0"/>
          <w:sz w:val="24"/>
        </w:rPr>
        <w:t>主要原料，加上一定比例稳定剂、着色剂、填充剂、紫外线吸收剂等材料挤压成型，具有以下特点</w:t>
      </w:r>
      <w:r>
        <w:rPr>
          <w:rFonts w:hint="eastAsia" w:ascii="宋体" w:hAnsi="宋体" w:cs="宋体"/>
          <w:color w:val="000000"/>
          <w:kern w:val="0"/>
          <w:sz w:val="24"/>
        </w:rPr>
        <w:t>。</w:t>
      </w:r>
    </w:p>
    <w:p>
      <w:pPr>
        <w:spacing w:line="360" w:lineRule="auto"/>
        <w:rPr>
          <w:rFonts w:ascii="宋体" w:hAnsi="宋体" w:cs="宋体"/>
          <w:bCs/>
          <w:sz w:val="24"/>
        </w:rPr>
      </w:pPr>
      <w:r>
        <w:rPr>
          <w:rFonts w:hint="eastAsia" w:ascii="宋体" w:hAnsi="宋体" w:cs="宋体"/>
          <w:bCs/>
          <w:sz w:val="24"/>
        </w:rPr>
        <w:t>a、强度</w:t>
      </w:r>
    </w:p>
    <w:p>
      <w:pPr>
        <w:spacing w:line="360" w:lineRule="auto"/>
        <w:ind w:firstLine="360" w:firstLineChars="150"/>
        <w:rPr>
          <w:rFonts w:ascii="宋体" w:hAnsi="宋体" w:cs="宋体"/>
          <w:bCs/>
          <w:sz w:val="24"/>
        </w:rPr>
      </w:pPr>
      <w:r>
        <w:rPr>
          <w:rFonts w:hint="eastAsia" w:ascii="宋体" w:hAnsi="宋体" w:cs="宋体"/>
          <w:bCs/>
          <w:sz w:val="24"/>
        </w:rPr>
        <w:t>透气性走道板铺设在粮面上时要求承载400KG压力不变形。</w:t>
      </w:r>
    </w:p>
    <w:p>
      <w:pPr>
        <w:spacing w:line="360" w:lineRule="auto"/>
        <w:rPr>
          <w:rFonts w:ascii="宋体" w:hAnsi="宋体" w:cs="宋体"/>
          <w:bCs/>
          <w:sz w:val="24"/>
        </w:rPr>
      </w:pPr>
      <w:r>
        <w:rPr>
          <w:rFonts w:hint="eastAsia" w:ascii="宋体" w:hAnsi="宋体" w:cs="宋体"/>
          <w:bCs/>
          <w:sz w:val="24"/>
        </w:rPr>
        <w:t>b、连接</w:t>
      </w:r>
    </w:p>
    <w:p>
      <w:pPr>
        <w:spacing w:line="360" w:lineRule="auto"/>
        <w:rPr>
          <w:rFonts w:ascii="宋体" w:hAnsi="宋体" w:cs="宋体"/>
          <w:bCs/>
          <w:sz w:val="24"/>
        </w:rPr>
      </w:pPr>
      <w:r>
        <w:rPr>
          <w:rFonts w:hint="eastAsia" w:ascii="宋体" w:hAnsi="宋体" w:cs="宋体"/>
          <w:bCs/>
          <w:sz w:val="24"/>
        </w:rPr>
        <w:t xml:space="preserve">   透气性走道板之间设置卡扣，用于板板之间横平竖直连接。</w:t>
      </w:r>
    </w:p>
    <w:p>
      <w:pPr>
        <w:spacing w:line="360" w:lineRule="auto"/>
        <w:rPr>
          <w:rFonts w:ascii="宋体" w:hAnsi="宋体" w:cs="宋体"/>
          <w:bCs/>
          <w:sz w:val="24"/>
        </w:rPr>
      </w:pPr>
      <w:r>
        <w:rPr>
          <w:rFonts w:hint="eastAsia" w:ascii="宋体" w:hAnsi="宋体" w:cs="宋体"/>
          <w:bCs/>
          <w:sz w:val="24"/>
        </w:rPr>
        <w:t>c、孔隙</w:t>
      </w:r>
    </w:p>
    <w:p>
      <w:pPr>
        <w:spacing w:line="360" w:lineRule="auto"/>
        <w:rPr>
          <w:rFonts w:ascii="宋体" w:hAnsi="宋体" w:cs="宋体"/>
          <w:bCs/>
          <w:sz w:val="24"/>
        </w:rPr>
      </w:pPr>
      <w:r>
        <w:rPr>
          <w:rFonts w:hint="eastAsia" w:ascii="宋体" w:hAnsi="宋体" w:cs="宋体"/>
          <w:bCs/>
          <w:sz w:val="24"/>
        </w:rPr>
        <w:t xml:space="preserve">   透气性走道板表面应设置合理数量和直径的孔隙，要求开孔率达到30%以上，便于透气。</w:t>
      </w:r>
    </w:p>
    <w:p>
      <w:pPr>
        <w:spacing w:line="360" w:lineRule="auto"/>
        <w:rPr>
          <w:rFonts w:ascii="宋体" w:hAnsi="宋体" w:cs="宋体"/>
          <w:bCs/>
          <w:sz w:val="24"/>
        </w:rPr>
      </w:pPr>
      <w:r>
        <w:rPr>
          <w:rFonts w:hint="eastAsia" w:ascii="宋体" w:hAnsi="宋体" w:cs="宋体"/>
          <w:bCs/>
          <w:sz w:val="24"/>
        </w:rPr>
        <w:t>d、板与板之间连接要求</w:t>
      </w:r>
    </w:p>
    <w:p>
      <w:pPr>
        <w:spacing w:line="360" w:lineRule="auto"/>
        <w:ind w:firstLine="360" w:firstLineChars="150"/>
        <w:rPr>
          <w:rFonts w:ascii="宋体" w:hAnsi="宋体" w:cs="宋体"/>
          <w:bCs/>
          <w:sz w:val="24"/>
        </w:rPr>
      </w:pPr>
      <w:r>
        <w:rPr>
          <w:rFonts w:hint="eastAsia" w:ascii="宋体" w:hAnsi="宋体" w:cs="宋体"/>
          <w:bCs/>
          <w:sz w:val="24"/>
        </w:rPr>
        <w:t>板与板之间连接需达到牢固紧密、平整、易于安装和拆卸，连接处不易破损。</w:t>
      </w:r>
    </w:p>
    <w:p>
      <w:pPr>
        <w:spacing w:line="360" w:lineRule="auto"/>
        <w:rPr>
          <w:rFonts w:ascii="宋体" w:hAnsi="宋体" w:cs="宋体"/>
          <w:bCs/>
          <w:sz w:val="24"/>
        </w:rPr>
      </w:pPr>
      <w:r>
        <w:rPr>
          <w:rFonts w:hint="eastAsia" w:ascii="宋体" w:hAnsi="宋体" w:cs="宋体"/>
          <w:bCs/>
          <w:sz w:val="24"/>
        </w:rPr>
        <w:t>e、板与粮面之间接触要求</w:t>
      </w:r>
    </w:p>
    <w:p>
      <w:pPr>
        <w:spacing w:line="360" w:lineRule="auto"/>
        <w:rPr>
          <w:rFonts w:ascii="宋体" w:hAnsi="宋体" w:cs="宋体"/>
          <w:bCs/>
          <w:sz w:val="24"/>
        </w:rPr>
      </w:pPr>
      <w:r>
        <w:rPr>
          <w:rFonts w:hint="eastAsia" w:ascii="宋体" w:hAnsi="宋体" w:cs="宋体"/>
          <w:bCs/>
          <w:sz w:val="24"/>
        </w:rPr>
        <w:t xml:space="preserve">   1）、透气性走道板孔隙要满足粮面透气性能，具有粮面的防结露功能。</w:t>
      </w:r>
    </w:p>
    <w:p>
      <w:pPr>
        <w:spacing w:line="360" w:lineRule="auto"/>
        <w:rPr>
          <w:rFonts w:ascii="宋体" w:hAnsi="宋体" w:cs="宋体"/>
          <w:bCs/>
          <w:sz w:val="24"/>
        </w:rPr>
      </w:pPr>
      <w:r>
        <w:rPr>
          <w:rFonts w:hint="eastAsia" w:ascii="宋体" w:hAnsi="宋体" w:cs="宋体"/>
          <w:bCs/>
          <w:sz w:val="24"/>
        </w:rPr>
        <w:t xml:space="preserve">   2）、走道板在保证开孔率的同时应有良好的承载力。</w:t>
      </w:r>
    </w:p>
    <w:p>
      <w:pPr>
        <w:spacing w:line="360" w:lineRule="auto"/>
        <w:rPr>
          <w:rFonts w:ascii="宋体" w:hAnsi="宋体" w:cs="宋体"/>
          <w:bCs/>
          <w:sz w:val="24"/>
        </w:rPr>
      </w:pPr>
      <w:r>
        <w:rPr>
          <w:rFonts w:hint="eastAsia" w:ascii="宋体" w:hAnsi="宋体" w:cs="宋体"/>
          <w:bCs/>
          <w:sz w:val="24"/>
        </w:rPr>
        <w:t xml:space="preserve">   3）、粮食正常保管期间，走道板不能因人员走动导致板面下沉低于粮面。同时，小麦、大豆、稻谷、玉米等主要品种粮粒不得从走道板孔隙中透出。</w:t>
      </w:r>
    </w:p>
    <w:p>
      <w:pPr>
        <w:spacing w:line="440" w:lineRule="exact"/>
        <w:rPr>
          <w:rFonts w:ascii="宋体" w:hAnsi="宋体"/>
          <w:sz w:val="24"/>
          <w:szCs w:val="28"/>
        </w:rPr>
      </w:pPr>
      <w:r>
        <w:rPr>
          <w:rFonts w:hint="eastAsia" w:ascii="宋体" w:hAnsi="宋体"/>
          <w:b/>
          <w:bCs/>
          <w:sz w:val="24"/>
          <w:szCs w:val="28"/>
        </w:rPr>
        <w:t>注：1、带</w:t>
      </w:r>
      <w:bookmarkStart w:id="7" w:name="OLE_LINK16"/>
      <w:bookmarkStart w:id="8" w:name="OLE_LINK15"/>
      <w:r>
        <w:rPr>
          <w:rFonts w:hint="eastAsia" w:hAnsi="宋体"/>
          <w:sz w:val="24"/>
          <w:szCs w:val="28"/>
        </w:rPr>
        <w:t>★</w:t>
      </w:r>
      <w:bookmarkEnd w:id="7"/>
      <w:bookmarkEnd w:id="8"/>
      <w:r>
        <w:rPr>
          <w:rFonts w:hint="eastAsia" w:hAnsi="宋体"/>
          <w:sz w:val="24"/>
          <w:szCs w:val="28"/>
        </w:rPr>
        <w:t>的</w:t>
      </w:r>
      <w:r>
        <w:rPr>
          <w:rFonts w:hint="eastAsia" w:ascii="宋体" w:hAnsi="宋体"/>
          <w:b/>
          <w:bCs/>
          <w:sz w:val="24"/>
          <w:szCs w:val="28"/>
        </w:rPr>
        <w:t>供应商如实提供其响应文件中</w:t>
      </w:r>
      <w:bookmarkStart w:id="9" w:name="OLE_LINK7"/>
      <w:bookmarkStart w:id="10" w:name="OLE_LINK8"/>
      <w:r>
        <w:rPr>
          <w:rFonts w:hint="eastAsia" w:ascii="宋体" w:hAnsi="宋体"/>
          <w:b/>
          <w:bCs/>
          <w:sz w:val="24"/>
          <w:szCs w:val="28"/>
        </w:rPr>
        <w:t>所</w:t>
      </w:r>
      <w:r>
        <w:rPr>
          <w:rFonts w:hint="eastAsia" w:ascii="宋体" w:hAnsi="宋体"/>
          <w:b/>
          <w:sz w:val="24"/>
          <w:szCs w:val="28"/>
        </w:rPr>
        <w:t>提供第三方证明材料：证书、</w:t>
      </w:r>
      <w:r>
        <w:rPr>
          <w:rFonts w:hint="eastAsia" w:ascii="宋体" w:hAnsi="宋体"/>
          <w:b/>
          <w:bCs/>
          <w:sz w:val="24"/>
          <w:szCs w:val="28"/>
        </w:rPr>
        <w:t>彩页、等的复印件加盖（厂家）公章</w:t>
      </w:r>
      <w:bookmarkEnd w:id="9"/>
      <w:bookmarkEnd w:id="10"/>
      <w:r>
        <w:rPr>
          <w:rFonts w:hint="eastAsia" w:ascii="宋体" w:hAnsi="宋体"/>
          <w:b/>
          <w:bCs/>
          <w:sz w:val="24"/>
          <w:szCs w:val="28"/>
        </w:rPr>
        <w:t>。</w:t>
      </w:r>
    </w:p>
    <w:p>
      <w:pPr>
        <w:numPr>
          <w:ilvl w:val="0"/>
          <w:numId w:val="2"/>
        </w:numPr>
        <w:spacing w:line="440" w:lineRule="exact"/>
        <w:ind w:firstLine="422"/>
        <w:rPr>
          <w:rFonts w:ascii="宋体" w:hAnsi="宋体"/>
          <w:b/>
          <w:bCs/>
          <w:sz w:val="24"/>
          <w:szCs w:val="28"/>
        </w:rPr>
      </w:pPr>
      <w:r>
        <w:rPr>
          <w:rFonts w:hint="eastAsia" w:ascii="宋体" w:hAnsi="宋体"/>
          <w:b/>
          <w:bCs/>
          <w:sz w:val="24"/>
          <w:szCs w:val="28"/>
        </w:rPr>
        <w:t>确保本项目施实的关键，第一成交人必须无条件服从，否则业主方有权不与其签订合同并作废标处理。</w:t>
      </w:r>
    </w:p>
    <w:p>
      <w:pPr>
        <w:numPr>
          <w:ilvl w:val="0"/>
          <w:numId w:val="2"/>
        </w:numPr>
        <w:spacing w:line="440" w:lineRule="exact"/>
        <w:ind w:firstLine="422"/>
        <w:rPr>
          <w:rFonts w:ascii="宋体" w:hAnsi="宋体"/>
          <w:b/>
          <w:bCs/>
          <w:sz w:val="24"/>
          <w:szCs w:val="28"/>
        </w:rPr>
      </w:pPr>
      <w:r>
        <w:rPr>
          <w:rFonts w:hint="eastAsia" w:ascii="宋体" w:hAnsi="宋体"/>
          <w:b/>
          <w:bCs/>
          <w:sz w:val="24"/>
          <w:szCs w:val="28"/>
        </w:rPr>
        <w:t>如在核查中发现弄虚作假，以次充好，恶意骗标等情况的，业主方有权取消其中标资格，扣除谈判保证金并按相关规定记录在案。</w:t>
      </w:r>
    </w:p>
    <w:p>
      <w:pPr>
        <w:keepNext/>
        <w:keepLines/>
        <w:widowControl/>
        <w:spacing w:before="260" w:after="260" w:line="560" w:lineRule="exact"/>
        <w:ind w:left="280"/>
        <w:jc w:val="left"/>
        <w:outlineLvl w:val="1"/>
        <w:rPr>
          <w:rFonts w:ascii="Times New Roman" w:hAnsi="宋体" w:eastAsia="宋体" w:cs="Times New Roman"/>
          <w:kern w:val="0"/>
          <w:sz w:val="28"/>
          <w:szCs w:val="28"/>
        </w:rPr>
        <w:sectPr>
          <w:pgSz w:w="11906" w:h="16838"/>
          <w:pgMar w:top="1440" w:right="1440" w:bottom="1440" w:left="1440" w:header="851" w:footer="992" w:gutter="0"/>
          <w:cols w:space="425" w:num="1"/>
          <w:docGrid w:linePitch="579" w:charSpace="-1844"/>
        </w:sectPr>
      </w:pPr>
    </w:p>
    <w:p>
      <w:pPr>
        <w:autoSpaceDE w:val="0"/>
        <w:autoSpaceDN w:val="0"/>
        <w:adjustRightInd w:val="0"/>
        <w:ind w:firstLine="640" w:firstLineChars="200"/>
        <w:jc w:val="left"/>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三、招标产品清单说明</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1、项目名称：安徽省永丰粮食购销有限公司2.5万吨粮食仓储设施项目环流熏蒸、低温空调设备采购及安装工程</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cs="Times New Roman" w:asciiTheme="minorEastAsia" w:hAnsiTheme="minorEastAsia"/>
          <w:snapToGrid w:val="0"/>
          <w:kern w:val="0"/>
          <w:sz w:val="24"/>
          <w:szCs w:val="24"/>
          <w:lang w:val="zh-CN"/>
        </w:rPr>
        <w:t>2</w:t>
      </w:r>
      <w:r>
        <w:rPr>
          <w:rFonts w:hint="eastAsia" w:cs="Times New Roman" w:asciiTheme="minorEastAsia" w:hAnsiTheme="minorEastAsia"/>
          <w:snapToGrid w:val="0"/>
          <w:kern w:val="0"/>
          <w:sz w:val="24"/>
          <w:szCs w:val="24"/>
          <w:lang w:val="zh-CN"/>
        </w:rPr>
        <w:t>、供应商所投的产品总报价不得超过控制价，否则将导致废标。</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cs="Times New Roman" w:asciiTheme="minorEastAsia" w:hAnsiTheme="minorEastAsia"/>
          <w:snapToGrid w:val="0"/>
          <w:kern w:val="0"/>
          <w:sz w:val="24"/>
          <w:szCs w:val="24"/>
          <w:lang w:val="zh-CN"/>
        </w:rPr>
        <w:t>3</w:t>
      </w:r>
      <w:r>
        <w:rPr>
          <w:rFonts w:hint="eastAsia" w:cs="Times New Roman" w:asciiTheme="minorEastAsia" w:hAnsiTheme="minorEastAsia"/>
          <w:snapToGrid w:val="0"/>
          <w:kern w:val="0"/>
          <w:sz w:val="24"/>
          <w:szCs w:val="24"/>
          <w:lang w:val="zh-CN"/>
        </w:rPr>
        <w:t>、本技术规格和技术规范所列货物的技术、功能作为供应商参考，不存在指定品牌之含义。供应商所提供的货物在技术与功能等方面应等同于或高于上述技术、功能要求。本技术规格和技术规范提出的各项功能要求和技术指标是对本项目的最基本要求，并未对一切细节做出全部详细规定，也未充分引述有关标准和规范的条文，供应商所有与本项目有关的技术标准均应不低于报价时已颁布的国家和行业标准，或相应的国际标准的有关条文。使用最新的专利和保密专利需特别说明。</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注：以上技术规格和要求必须逐条响应，提供所投产品的具体参数值，不得简单复制谈判文件相关内容。若指标项存在正、负偏离的均应详细说明，如实填写技术偏离表。若评委会认定偏离程度过多影响采购人实际使用的,响应文件将会被拒绝；存在细微偏离，但评委认定不影响采购人实际使用功能和效果的，可视为响应。</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cs="Times New Roman" w:asciiTheme="minorEastAsia" w:hAnsiTheme="minorEastAsia"/>
          <w:snapToGrid w:val="0"/>
          <w:kern w:val="0"/>
          <w:sz w:val="24"/>
          <w:szCs w:val="24"/>
          <w:lang w:val="zh-CN"/>
        </w:rPr>
        <w:t>4</w:t>
      </w:r>
      <w:r>
        <w:rPr>
          <w:rFonts w:hint="eastAsia" w:cs="Times New Roman" w:asciiTheme="minorEastAsia" w:hAnsiTheme="minorEastAsia"/>
          <w:snapToGrid w:val="0"/>
          <w:kern w:val="0"/>
          <w:sz w:val="24"/>
          <w:szCs w:val="24"/>
          <w:lang w:val="zh-CN"/>
        </w:rPr>
        <w:t>、产品性能、技术指标未谈判文件要求提供检测报告的视为负偏离</w:t>
      </w:r>
    </w:p>
    <w:p>
      <w:pPr>
        <w:pStyle w:val="2"/>
        <w:ind w:left="1260"/>
        <w:rPr>
          <w:lang w:val="zh-CN"/>
        </w:rPr>
      </w:pPr>
    </w:p>
    <w:p>
      <w:pPr>
        <w:spacing w:line="360" w:lineRule="auto"/>
        <w:rPr>
          <w:rFonts w:ascii="黑体" w:hAnsi="黑体" w:eastAsia="黑体" w:cs="Times New Roman"/>
          <w:kern w:val="0"/>
          <w:sz w:val="32"/>
          <w:szCs w:val="32"/>
        </w:rPr>
      </w:pPr>
      <w:r>
        <w:rPr>
          <w:rFonts w:hint="eastAsia" w:ascii="黑体" w:hAnsi="黑体" w:eastAsia="黑体" w:cs="Times New Roman"/>
          <w:kern w:val="0"/>
          <w:sz w:val="32"/>
          <w:szCs w:val="32"/>
        </w:rPr>
        <w:t>四、</w:t>
      </w:r>
      <w:r>
        <w:rPr>
          <w:rFonts w:ascii="黑体" w:hAnsi="黑体" w:eastAsia="黑体" w:cs="Times New Roman"/>
          <w:kern w:val="0"/>
          <w:sz w:val="32"/>
          <w:szCs w:val="32"/>
        </w:rPr>
        <w:t>商务要求</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（一）交货时间、地点与方式</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交货时间：合同签订后20天内交付并安装完成</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交货地点与方式：交钥匙工程、池州市东至县昭潭镇永丰村。</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（二）售后服务</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1.质量保证期：自移交接收之日起1年。</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2.供应商对提供的货物在质保期内，因产品质量而导致的缺陷，必须免费提供包修、包换、包退服务。</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3.供应商须在“三包”范围内免费提供该货物的技术培训和技术支持。</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4.中标产品在质保期内出现非人为软硬件故障，中标方必须在3小时内到场进行维修，十二小时内维修完毕，如中标方为能及时提供售后服务，或一年内累计出现非人为故障超过5次以上，每次将扣除质保金5000元，扣完为止。</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（三）专利权和保密要求</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供应商应保证使用方在使用该货物或其任何一部分时，不受第三方侵权指控。同时，供应商不得向第三方泄露采购人提供的技术文件等资料。</w:t>
      </w:r>
    </w:p>
    <w:p>
      <w:pPr>
        <w:autoSpaceDE w:val="0"/>
        <w:autoSpaceDN w:val="0"/>
        <w:spacing w:line="360" w:lineRule="auto"/>
        <w:ind w:firstLine="482" w:firstLineChars="200"/>
        <w:rPr>
          <w:rFonts w:cs="Times New Roman" w:asciiTheme="minorEastAsia" w:hAnsiTheme="minorEastAsia"/>
          <w:b/>
          <w:snapToGrid w:val="0"/>
          <w:kern w:val="0"/>
          <w:sz w:val="24"/>
          <w:szCs w:val="24"/>
          <w:lang w:val="zh-CN"/>
        </w:rPr>
      </w:pPr>
      <w:r>
        <w:rPr>
          <w:rFonts w:hint="eastAsia" w:cs="Times New Roman" w:asciiTheme="minorEastAsia" w:hAnsiTheme="minorEastAsia"/>
          <w:b/>
          <w:snapToGrid w:val="0"/>
          <w:kern w:val="0"/>
          <w:sz w:val="24"/>
          <w:szCs w:val="24"/>
          <w:lang w:val="zh-CN"/>
        </w:rPr>
        <w:t>（四）现场勘查</w:t>
      </w:r>
    </w:p>
    <w:p>
      <w:pPr>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snapToGrid w:val="0"/>
          <w:kern w:val="0"/>
          <w:sz w:val="24"/>
          <w:szCs w:val="24"/>
          <w:lang w:val="zh-CN"/>
        </w:rPr>
        <w:t>1.现场勘查时间：自行勘察</w:t>
      </w:r>
      <w:r>
        <w:rPr>
          <w:rFonts w:hint="eastAsia" w:cs="Times New Roman" w:asciiTheme="minorEastAsia" w:hAnsiTheme="minorEastAsia"/>
          <w:kern w:val="0"/>
          <w:sz w:val="24"/>
          <w:szCs w:val="24"/>
        </w:rPr>
        <w:t>，联系人：徐先生 ，</w:t>
      </w:r>
      <w:r>
        <w:rPr>
          <w:rFonts w:cs="Times New Roman" w:asciiTheme="minorEastAsia" w:hAnsiTheme="minorEastAsia"/>
          <w:kern w:val="0"/>
          <w:sz w:val="24"/>
          <w:szCs w:val="24"/>
        </w:rPr>
        <w:t>13856628628</w:t>
      </w:r>
    </w:p>
    <w:p>
      <w:pPr>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2.地点：</w:t>
      </w:r>
      <w:r>
        <w:rPr>
          <w:rFonts w:hint="eastAsia" w:cs="Times New Roman" w:asciiTheme="minorEastAsia" w:hAnsiTheme="minorEastAsia"/>
          <w:snapToGrid w:val="0"/>
          <w:kern w:val="0"/>
          <w:sz w:val="24"/>
          <w:szCs w:val="24"/>
          <w:lang w:val="zh-CN"/>
        </w:rPr>
        <w:t>池州市东至县昭潭镇永丰村</w:t>
      </w:r>
    </w:p>
    <w:p>
      <w:pPr>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3.因疫情期间防控要求，请有现场勘查意向的供应商于11月15日11时前电话联系。</w:t>
      </w:r>
    </w:p>
    <w:p>
      <w:pPr>
        <w:spacing w:line="360" w:lineRule="auto"/>
        <w:rPr>
          <w:rFonts w:ascii="黑体" w:hAnsi="黑体" w:eastAsia="黑体" w:cs="Times New Roman"/>
          <w:kern w:val="0"/>
          <w:sz w:val="32"/>
          <w:szCs w:val="32"/>
        </w:rPr>
      </w:pPr>
      <w:r>
        <w:rPr>
          <w:rFonts w:hint="eastAsia" w:ascii="黑体" w:hAnsi="黑体" w:eastAsia="黑体" w:cs="Times New Roman"/>
          <w:kern w:val="0"/>
          <w:sz w:val="32"/>
          <w:szCs w:val="32"/>
        </w:rPr>
        <w:t>五、报价说明：</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1、本报价为最终报价。报价的人民币总价格为项目最终不变价，除非买方调整采购项目和数量。</w:t>
      </w:r>
      <w:r>
        <w:rPr>
          <w:rFonts w:hint="eastAsia" w:cs="Times New Roman" w:asciiTheme="minorEastAsia" w:hAnsiTheme="minorEastAsia"/>
          <w:b/>
          <w:snapToGrid w:val="0"/>
          <w:kern w:val="0"/>
          <w:sz w:val="24"/>
          <w:szCs w:val="24"/>
          <w:u w:val="single"/>
          <w:lang w:val="zh-CN"/>
        </w:rPr>
        <w:t>报价应包含货物设计、制造、包装、仓储、运输装缷、保险、安装、调试、验收及验收合格之前保管和保修期内备品备件、专用工具、伴随服务、技术图纸资料及发生的所有含税费用、支付给员工的工资和国家强制缴纳的各种社会保障资金等</w:t>
      </w:r>
      <w:r>
        <w:rPr>
          <w:rFonts w:hint="eastAsia" w:cs="Times New Roman" w:asciiTheme="minorEastAsia" w:hAnsiTheme="minorEastAsia"/>
          <w:snapToGrid w:val="0"/>
          <w:kern w:val="0"/>
          <w:sz w:val="24"/>
          <w:szCs w:val="24"/>
          <w:lang w:val="zh-CN"/>
        </w:rPr>
        <w:t>。</w:t>
      </w:r>
      <w:r>
        <w:rPr>
          <w:rFonts w:hint="eastAsia" w:cs="Times New Roman" w:asciiTheme="minorEastAsia" w:hAnsiTheme="minorEastAsia"/>
          <w:b/>
          <w:snapToGrid w:val="0"/>
          <w:kern w:val="0"/>
          <w:sz w:val="24"/>
          <w:szCs w:val="24"/>
          <w:u w:val="single"/>
          <w:lang w:val="zh-CN"/>
        </w:rPr>
        <w:t>含本次招标代理服务费及评标服务费（费用综合在投标设备仪器单价内，由成交人承担，按照中标价的0.98%）</w:t>
      </w:r>
      <w:r>
        <w:rPr>
          <w:rFonts w:hint="eastAsia" w:cs="Times New Roman" w:asciiTheme="minorEastAsia" w:hAnsiTheme="minorEastAsia"/>
          <w:snapToGrid w:val="0"/>
          <w:kern w:val="0"/>
          <w:sz w:val="24"/>
          <w:szCs w:val="24"/>
          <w:lang w:val="zh-CN"/>
        </w:rPr>
        <w:t>在验收过程中，如发现有漏项、缺件，卖方应无条件、无偿补齐，所发生的一切费用，视为已包含在卖方的最终投标报价中。</w:t>
      </w:r>
    </w:p>
    <w:p>
      <w:pPr>
        <w:pStyle w:val="2"/>
        <w:ind w:left="598" w:leftChars="285"/>
        <w:rPr>
          <w:rFonts w:cs="Times New Roman" w:asciiTheme="minorEastAsia" w:hAnsiTheme="minorEastAsia"/>
          <w:b/>
          <w:snapToGrid w:val="0"/>
          <w:kern w:val="0"/>
          <w:sz w:val="24"/>
          <w:u w:val="single"/>
          <w:lang w:val="zh-CN"/>
        </w:rPr>
      </w:pPr>
      <w:r>
        <w:rPr>
          <w:rFonts w:hint="eastAsia" w:cs="Times New Roman" w:asciiTheme="minorEastAsia" w:hAnsiTheme="minorEastAsia"/>
          <w:b/>
          <w:snapToGrid w:val="0"/>
          <w:kern w:val="0"/>
          <w:sz w:val="24"/>
          <w:u w:val="single"/>
          <w:lang w:val="zh-CN"/>
        </w:rPr>
        <w:t>成交人后期须提供增值税专用发票。（费用包含在投标报价内）</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2、运输方式及费用承担（含保险）：运杂费及运输保险费包含在投标总价中，由成交人承担。</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sectPr>
          <w:pgSz w:w="11906" w:h="16838"/>
          <w:pgMar w:top="1440" w:right="1440" w:bottom="1440" w:left="1440" w:header="851" w:footer="992" w:gutter="0"/>
          <w:cols w:space="425" w:num="1"/>
          <w:docGrid w:linePitch="579" w:charSpace="-1844"/>
        </w:sectPr>
      </w:pPr>
      <w:r>
        <w:rPr>
          <w:rFonts w:hint="eastAsia" w:cs="Times New Roman" w:asciiTheme="minorEastAsia" w:hAnsiTheme="minorEastAsia"/>
          <w:snapToGrid w:val="0"/>
          <w:kern w:val="0"/>
          <w:sz w:val="24"/>
          <w:szCs w:val="24"/>
          <w:lang w:val="zh-CN"/>
        </w:rPr>
        <w:t>3、包装要求及费用承担：按供应商的标准包装，但应考虑到防漏、防潮、防震、防盗和可能会发生的野蛮装卸等内陆运输及多次装卸之需要。费用包含在投标最终报价价中，由成交人承担。</w:t>
      </w:r>
    </w:p>
    <w:p>
      <w:pPr>
        <w:pStyle w:val="3"/>
        <w:spacing w:before="0" w:after="0" w:line="360" w:lineRule="auto"/>
        <w:jc w:val="center"/>
        <w:rPr>
          <w:sz w:val="36"/>
          <w:szCs w:val="36"/>
        </w:rPr>
      </w:pPr>
      <w:bookmarkStart w:id="11" w:name="_Toc240432230"/>
      <w:bookmarkStart w:id="12" w:name="_Toc435540980"/>
      <w:bookmarkStart w:id="13" w:name="_Toc390713968"/>
      <w:bookmarkStart w:id="14" w:name="_Toc285612601"/>
      <w:r>
        <w:rPr>
          <w:rFonts w:hint="eastAsia"/>
          <w:sz w:val="36"/>
          <w:szCs w:val="36"/>
        </w:rPr>
        <w:t>第三部分 供应商须知</w:t>
      </w:r>
      <w:bookmarkEnd w:id="11"/>
      <w:bookmarkEnd w:id="12"/>
      <w:bookmarkEnd w:id="13"/>
      <w:bookmarkEnd w:id="14"/>
    </w:p>
    <w:p>
      <w:pPr>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一、</w:t>
      </w:r>
      <w:r>
        <w:rPr>
          <w:rFonts w:cs="Times New Roman" w:asciiTheme="minorEastAsia" w:hAnsiTheme="minorEastAsia"/>
          <w:b/>
          <w:kern w:val="0"/>
          <w:sz w:val="28"/>
          <w:szCs w:val="28"/>
        </w:rPr>
        <w:t>说明</w:t>
      </w:r>
    </w:p>
    <w:p>
      <w:pPr>
        <w:spacing w:line="360" w:lineRule="auto"/>
        <w:ind w:firstLine="482" w:firstLineChars="200"/>
        <w:rPr>
          <w:rFonts w:cs="Times New Roman" w:asciiTheme="minorEastAsia" w:hAnsiTheme="minorEastAsia"/>
          <w:b/>
          <w:snapToGrid w:val="0"/>
          <w:kern w:val="0"/>
          <w:sz w:val="24"/>
          <w:szCs w:val="24"/>
        </w:rPr>
      </w:pPr>
      <w:r>
        <w:rPr>
          <w:rFonts w:hint="eastAsia" w:cs="Times New Roman" w:asciiTheme="minorEastAsia" w:hAnsiTheme="minorEastAsia"/>
          <w:b/>
          <w:snapToGrid w:val="0"/>
          <w:kern w:val="0"/>
          <w:sz w:val="24"/>
          <w:szCs w:val="24"/>
        </w:rPr>
        <w:t>（一）概述</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rPr>
        <w:t>1.</w:t>
      </w:r>
      <w:r>
        <w:rPr>
          <w:rFonts w:hint="eastAsia" w:cs="Times New Roman" w:asciiTheme="minorEastAsia" w:hAnsiTheme="minorEastAsia"/>
          <w:snapToGrid w:val="0"/>
          <w:kern w:val="0"/>
          <w:sz w:val="24"/>
          <w:szCs w:val="24"/>
          <w:lang w:val="zh-CN"/>
        </w:rPr>
        <w:t>本谈判文件仅适用于《竞争性谈判公告》中所述的采购项目；</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rPr>
        <w:t>2.</w:t>
      </w:r>
      <w:r>
        <w:rPr>
          <w:rFonts w:hint="eastAsia" w:asciiTheme="minorEastAsia" w:hAnsiTheme="minorEastAsia"/>
          <w:snapToGrid w:val="0"/>
          <w:sz w:val="24"/>
          <w:szCs w:val="24"/>
        </w:rPr>
        <w:t>参与本次谈判的所有各方，对在参与过程中获悉的国家商业、技术秘密以及其它依法应当保密的内容，均负有保密义务，违者应对由此造成的后果承担全部法律责任。</w:t>
      </w:r>
    </w:p>
    <w:p>
      <w:pPr>
        <w:autoSpaceDE w:val="0"/>
        <w:autoSpaceDN w:val="0"/>
        <w:spacing w:line="360" w:lineRule="auto"/>
        <w:ind w:firstLine="482" w:firstLineChars="200"/>
        <w:rPr>
          <w:rFonts w:cs="Times New Roman" w:asciiTheme="minorEastAsia" w:hAnsiTheme="minorEastAsia"/>
          <w:b/>
          <w:snapToGrid w:val="0"/>
          <w:kern w:val="0"/>
          <w:sz w:val="24"/>
          <w:szCs w:val="24"/>
          <w:lang w:val="zh-CN"/>
        </w:rPr>
      </w:pPr>
      <w:r>
        <w:rPr>
          <w:rFonts w:hint="eastAsia" w:cs="Times New Roman" w:asciiTheme="minorEastAsia" w:hAnsiTheme="minorEastAsia"/>
          <w:b/>
          <w:snapToGrid w:val="0"/>
          <w:kern w:val="0"/>
          <w:sz w:val="24"/>
          <w:szCs w:val="24"/>
          <w:lang w:val="zh-CN"/>
        </w:rPr>
        <w:t>（二）定义</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1.“采购项目”系指本谈判文件描述的所需采购的货物和相关服务；</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2.“采购人”系指</w:t>
      </w:r>
      <w:r>
        <w:rPr>
          <w:rFonts w:hint="eastAsia" w:cs="Times New Roman" w:asciiTheme="minorEastAsia" w:hAnsiTheme="minorEastAsia"/>
          <w:snapToGrid w:val="0"/>
          <w:kern w:val="0"/>
          <w:sz w:val="24"/>
          <w:szCs w:val="24"/>
          <w:u w:val="single"/>
          <w:lang w:val="zh-CN"/>
        </w:rPr>
        <w:t>安徽省永丰粮食购销有限公司</w:t>
      </w:r>
      <w:r>
        <w:rPr>
          <w:rFonts w:hint="eastAsia" w:cs="Times New Roman" w:asciiTheme="minorEastAsia" w:hAnsiTheme="minorEastAsia"/>
          <w:snapToGrid w:val="0"/>
          <w:kern w:val="0"/>
          <w:sz w:val="24"/>
          <w:szCs w:val="24"/>
          <w:lang w:val="zh-CN"/>
        </w:rPr>
        <w:t>；“采购代理机构”系指组织本次招标的</w:t>
      </w:r>
      <w:r>
        <w:rPr>
          <w:rFonts w:hint="eastAsia" w:cs="Times New Roman" w:asciiTheme="minorEastAsia" w:hAnsiTheme="minorEastAsia"/>
          <w:snapToGrid w:val="0"/>
          <w:kern w:val="0"/>
          <w:sz w:val="24"/>
          <w:szCs w:val="24"/>
          <w:u w:val="single"/>
          <w:lang w:val="zh-CN"/>
        </w:rPr>
        <w:t>合肥容公工程咨询有限公司</w:t>
      </w:r>
      <w:r>
        <w:rPr>
          <w:rFonts w:hint="eastAsia" w:cs="Times New Roman" w:asciiTheme="minorEastAsia" w:hAnsiTheme="minorEastAsia"/>
          <w:snapToGrid w:val="0"/>
          <w:kern w:val="0"/>
          <w:sz w:val="24"/>
          <w:szCs w:val="24"/>
          <w:lang w:val="zh-CN"/>
        </w:rPr>
        <w:t>；</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3.“供应商”系指从采购人按规定获取谈判文件，并提交响应文件的供应商；</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4.“成交人”系指经过招标评审，授予合同的供应商；</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5.“货物”系指成交人按谈判文件规定，所提供的各种形态和种类的物品，包括设备、产品、备品备件、工具、手册等；</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6.“服务”系指成交人按谈判文件规定，必须承担的运输、安装、调试、技术协助、培训、维修、配件供应等义务。</w:t>
      </w:r>
    </w:p>
    <w:p>
      <w:pPr>
        <w:autoSpaceDE w:val="0"/>
        <w:autoSpaceDN w:val="0"/>
        <w:spacing w:line="360" w:lineRule="auto"/>
        <w:ind w:firstLine="482" w:firstLineChars="200"/>
        <w:rPr>
          <w:rFonts w:cs="Times New Roman" w:asciiTheme="minorEastAsia" w:hAnsiTheme="minorEastAsia"/>
          <w:b/>
          <w:snapToGrid w:val="0"/>
          <w:kern w:val="0"/>
          <w:sz w:val="24"/>
          <w:szCs w:val="24"/>
          <w:lang w:val="zh-CN"/>
        </w:rPr>
      </w:pPr>
      <w:r>
        <w:rPr>
          <w:rFonts w:hint="eastAsia" w:cs="Times New Roman" w:asciiTheme="minorEastAsia" w:hAnsiTheme="minorEastAsia"/>
          <w:b/>
          <w:snapToGrid w:val="0"/>
          <w:kern w:val="0"/>
          <w:sz w:val="24"/>
          <w:szCs w:val="24"/>
          <w:lang w:val="zh-CN"/>
        </w:rPr>
        <w:t>（三）合格的供应商</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1.能够遵守国家的有关法律、法规和本次招标的有关规定；</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2.符合《招标公告》所述供应商的资格要求和特定资格条件；</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3.能够承担投标及履约中应承担的全部责任与义务。</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（四）合格的货物和相关服务</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 xml:space="preserve">1.供应商对所提供的货物应当享有合法的所有权，没有侵犯任何第三方的知识产权、技术秘密等权利，而且不存在任何抵押、留置、查封等产权瑕疵； </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2.供应商提供的货物必须是全新的、未使用过的，货物和相关服务应当符合谈判文件要求。</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（五）投标委托</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如供应商代表不是法定代表人，须持有《法定代表人授权书》（</w:t>
      </w:r>
      <w:r>
        <w:rPr>
          <w:rFonts w:hint="eastAsia" w:cs="Times New Roman" w:asciiTheme="minorEastAsia" w:hAnsiTheme="minorEastAsia"/>
          <w:kern w:val="0"/>
          <w:sz w:val="24"/>
          <w:szCs w:val="24"/>
          <w:lang w:val="zh-CN"/>
        </w:rPr>
        <w:t>附件18</w:t>
      </w:r>
      <w:r>
        <w:rPr>
          <w:rFonts w:hint="eastAsia" w:cs="Times New Roman" w:asciiTheme="minorEastAsia" w:hAnsiTheme="minorEastAsia"/>
          <w:snapToGrid w:val="0"/>
          <w:kern w:val="0"/>
          <w:sz w:val="24"/>
          <w:szCs w:val="24"/>
          <w:lang w:val="zh-CN"/>
        </w:rPr>
        <w:t>）。</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（六）付款及结算方式</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付款方式：本项目无预付款，中标方安装调试完毕后，由需求方组织验收，验收合格后付货款90%，10%作为质保金，一年后支付。</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（七）投标费用</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不论投标结果如何，供应商均应自行承担与投标有关的全部费用。</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（八）信息发布</w:t>
      </w:r>
    </w:p>
    <w:p>
      <w:pPr>
        <w:autoSpaceDE w:val="0"/>
        <w:autoSpaceDN w:val="0"/>
        <w:spacing w:line="360" w:lineRule="auto"/>
        <w:ind w:firstLine="480" w:firstLineChars="200"/>
        <w:rPr>
          <w:rFonts w:cs="Times New Roman" w:asciiTheme="minorEastAsia" w:hAnsiTheme="minorEastAsia"/>
          <w:snapToGrid w:val="0"/>
          <w:kern w:val="0"/>
          <w:sz w:val="24"/>
          <w:szCs w:val="24"/>
          <w:lang w:val="zh-CN"/>
        </w:rPr>
      </w:pPr>
      <w:r>
        <w:rPr>
          <w:rFonts w:hint="eastAsia" w:cs="Times New Roman" w:asciiTheme="minorEastAsia" w:hAnsiTheme="minorEastAsia"/>
          <w:snapToGrid w:val="0"/>
          <w:kern w:val="0"/>
          <w:sz w:val="24"/>
          <w:szCs w:val="24"/>
          <w:lang w:val="zh-CN"/>
        </w:rPr>
        <w:t>本采购项目需要公开的有关信息， “</w:t>
      </w:r>
      <w:r>
        <w:rPr>
          <w:rFonts w:hint="eastAsia" w:cs="Times New Roman" w:asciiTheme="minorEastAsia" w:hAnsiTheme="minorEastAsia"/>
          <w:kern w:val="0"/>
          <w:sz w:val="24"/>
          <w:szCs w:val="24"/>
        </w:rPr>
        <w:t>安徽省旅游集团官网</w:t>
      </w:r>
      <w:r>
        <w:rPr>
          <w:rFonts w:hint="eastAsia" w:cs="Times New Roman" w:asciiTheme="minorEastAsia" w:hAnsiTheme="minorEastAsia"/>
          <w:snapToGrid w:val="0"/>
          <w:kern w:val="0"/>
          <w:sz w:val="24"/>
          <w:szCs w:val="24"/>
          <w:lang w:val="zh-CN"/>
        </w:rPr>
        <w:t>”公开发布。供应商在参与本采购项目招投标活动期间，请及时关注以上媒体上的相关信息，供应商因没有及时关注而未能如期获取相关信息，将会增加投标风险，采购人对此不承担任何责任。</w:t>
      </w:r>
    </w:p>
    <w:p>
      <w:pPr>
        <w:spacing w:line="360" w:lineRule="auto"/>
        <w:rPr>
          <w:rFonts w:cs="Times New Roman" w:asciiTheme="minorEastAsia" w:hAnsiTheme="minorEastAsia"/>
          <w:kern w:val="0"/>
          <w:sz w:val="24"/>
          <w:szCs w:val="24"/>
        </w:rPr>
      </w:pPr>
    </w:p>
    <w:p>
      <w:pPr>
        <w:spacing w:line="360" w:lineRule="auto"/>
        <w:rPr>
          <w:rFonts w:cs="Times New Roman" w:asciiTheme="minorEastAsia" w:hAnsiTheme="minorEastAsia"/>
          <w:b/>
          <w:kern w:val="0"/>
          <w:sz w:val="28"/>
          <w:szCs w:val="28"/>
        </w:rPr>
      </w:pPr>
      <w:r>
        <w:rPr>
          <w:rFonts w:hint="eastAsia" w:cs="Times New Roman" w:asciiTheme="minorEastAsia" w:hAnsiTheme="minorEastAsia"/>
          <w:kern w:val="0"/>
          <w:sz w:val="24"/>
          <w:szCs w:val="24"/>
        </w:rPr>
        <w:br w:type="page"/>
      </w:r>
      <w:r>
        <w:rPr>
          <w:rFonts w:hint="eastAsia" w:cs="Times New Roman" w:asciiTheme="minorEastAsia" w:hAnsiTheme="minorEastAsia"/>
          <w:b/>
          <w:kern w:val="0"/>
          <w:sz w:val="28"/>
          <w:szCs w:val="28"/>
        </w:rPr>
        <w:t>二、谈判</w:t>
      </w:r>
      <w:r>
        <w:rPr>
          <w:rFonts w:cs="Times New Roman" w:asciiTheme="minorEastAsia" w:hAnsiTheme="minorEastAsia"/>
          <w:b/>
          <w:kern w:val="0"/>
          <w:sz w:val="28"/>
          <w:szCs w:val="28"/>
        </w:rPr>
        <w:t>文件</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（一）谈判文件的内容</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谈判文件由采购公告、采购项目技术和商务要求、供应商须知、合同样本、附件/响应文件格式等内容构成。</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谈判文件以中文编写。纸质谈判文件与电子版谈判文件具有同等法律效力，两者出现不一致时，以纸质谈判文件为准。</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（二）谈判文件的澄清</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供应商对谈判文件如有疑问要求澄清，应当在投标截止时间3日前以书面形式通知采购人，采购人应当视情以适当方式予以澄清，或以书面形式答复。如有必要，在不标明问题查询来源情况下，采购人可将答复内容以书面形式通知所有供应商。</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（三）谈判文件的修改</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1.投标截止时间前，采购人可对已发出的谈判文件进行修改。谈判文件修改内容是谈判文件的组成部分。</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2.谈判文件修改内容可能影响响应文件编制的，采购人将在投标截止时间至少15日前，以书面形式通知所有供应商，并对供应商具有约束力。供应商在收到上述通知后，应立即以书面形式向采购人确认。</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3.为使供应商有足够时间修改响应文件，采购人可酌情推迟谈判截止时间和谈判时间。需要推迟的，采购人将在谈判截止时间3日前以书面形式通知所有供应商。</w:t>
      </w:r>
    </w:p>
    <w:p>
      <w:pPr>
        <w:spacing w:line="360" w:lineRule="auto"/>
        <w:jc w:val="center"/>
        <w:rPr>
          <w:rFonts w:cs="Times New Roman" w:asciiTheme="minorEastAsia" w:hAnsiTheme="minorEastAsia"/>
          <w:b/>
          <w:kern w:val="0"/>
          <w:sz w:val="28"/>
          <w:szCs w:val="28"/>
        </w:rPr>
      </w:pPr>
    </w:p>
    <w:p>
      <w:pPr>
        <w:spacing w:line="360" w:lineRule="auto"/>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三、响应文件</w:t>
      </w:r>
      <w:r>
        <w:rPr>
          <w:rFonts w:cs="Times New Roman" w:asciiTheme="minorEastAsia" w:hAnsiTheme="minorEastAsia"/>
          <w:b/>
          <w:kern w:val="0"/>
          <w:sz w:val="28"/>
          <w:szCs w:val="28"/>
        </w:rPr>
        <w:t>编制</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（一）注意事项</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供应商应仔细阅读谈判文件，在完全了解全部内容后，依法真实编制响应文件。如果没有按照谈判文件要求提交全部响应文件或者资料，没有对谈判文件实质性响应，可能导致投标无效。</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（二）响应文件的语言及计量单位</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1.响应文件和来往信函均以中文书写。确有需要时，相关内容可以使用其他语言书写，但必须同时提供中文译文，不同语言文本响应文件的解释发生异议的，以中文译文为准。</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2.响应文件中所使用的计量单位，除响应文件中有特殊要求外，均采用国家法定计量单位。</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（三）响应文件组成（包括3部分：价格文件、投标书、资格证明文件）</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1.价格文件包括：</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（1）开标一览表</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2</w:t>
      </w:r>
      <w:r>
        <w:rPr>
          <w:rFonts w:hint="eastAsia" w:cs="Times New Roman" w:asciiTheme="minorEastAsia" w:hAnsiTheme="minorEastAsia"/>
          <w:snapToGrid w:val="0"/>
          <w:kern w:val="0"/>
          <w:sz w:val="24"/>
          <w:szCs w:val="24"/>
        </w:rPr>
        <w:t>）价格构成表</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3</w:t>
      </w:r>
      <w:r>
        <w:rPr>
          <w:rFonts w:hint="eastAsia" w:cs="Times New Roman" w:asciiTheme="minorEastAsia" w:hAnsiTheme="minorEastAsia"/>
          <w:snapToGrid w:val="0"/>
          <w:kern w:val="0"/>
          <w:sz w:val="24"/>
          <w:szCs w:val="24"/>
        </w:rPr>
        <w:t>）货物材料、部件、工具价格明细表</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2.投标书包括：</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1</w:t>
      </w:r>
      <w:r>
        <w:rPr>
          <w:rFonts w:hint="eastAsia" w:cs="Times New Roman" w:asciiTheme="minorEastAsia" w:hAnsiTheme="minorEastAsia"/>
          <w:snapToGrid w:val="0"/>
          <w:kern w:val="0"/>
          <w:sz w:val="24"/>
          <w:szCs w:val="24"/>
        </w:rPr>
        <w:t>）投标函</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2</w:t>
      </w:r>
      <w:r>
        <w:rPr>
          <w:rFonts w:hint="eastAsia" w:cs="Times New Roman" w:asciiTheme="minorEastAsia" w:hAnsiTheme="minorEastAsia"/>
          <w:snapToGrid w:val="0"/>
          <w:kern w:val="0"/>
          <w:sz w:val="24"/>
          <w:szCs w:val="24"/>
        </w:rPr>
        <w:t>）货物简要说明一览表</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3</w:t>
      </w:r>
      <w:r>
        <w:rPr>
          <w:rFonts w:hint="eastAsia" w:cs="Times New Roman" w:asciiTheme="minorEastAsia" w:hAnsiTheme="minorEastAsia"/>
          <w:snapToGrid w:val="0"/>
          <w:kern w:val="0"/>
          <w:sz w:val="24"/>
          <w:szCs w:val="24"/>
        </w:rPr>
        <w:t>）主要技术性能参数表</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4</w:t>
      </w:r>
      <w:r>
        <w:rPr>
          <w:rFonts w:hint="eastAsia" w:cs="Times New Roman" w:asciiTheme="minorEastAsia" w:hAnsiTheme="minorEastAsia"/>
          <w:snapToGrid w:val="0"/>
          <w:kern w:val="0"/>
          <w:sz w:val="24"/>
          <w:szCs w:val="24"/>
        </w:rPr>
        <w:t>）技术指标参数响应偏离表</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5</w:t>
      </w:r>
      <w:r>
        <w:rPr>
          <w:rFonts w:hint="eastAsia" w:cs="Times New Roman" w:asciiTheme="minorEastAsia" w:hAnsiTheme="minorEastAsia"/>
          <w:snapToGrid w:val="0"/>
          <w:kern w:val="0"/>
          <w:sz w:val="24"/>
          <w:szCs w:val="24"/>
        </w:rPr>
        <w:t>）主要商务条款响应偏离表</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6</w:t>
      </w:r>
      <w:r>
        <w:rPr>
          <w:rFonts w:hint="eastAsia" w:cs="Times New Roman" w:asciiTheme="minorEastAsia" w:hAnsiTheme="minorEastAsia"/>
          <w:snapToGrid w:val="0"/>
          <w:kern w:val="0"/>
          <w:sz w:val="24"/>
          <w:szCs w:val="24"/>
        </w:rPr>
        <w:t>）交货清单</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7</w:t>
      </w:r>
      <w:r>
        <w:rPr>
          <w:rFonts w:hint="eastAsia" w:cs="Times New Roman" w:asciiTheme="minorEastAsia" w:hAnsiTheme="minorEastAsia"/>
          <w:snapToGrid w:val="0"/>
          <w:kern w:val="0"/>
          <w:sz w:val="24"/>
          <w:szCs w:val="24"/>
        </w:rPr>
        <w:t>）谈判保证金</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8</w:t>
      </w:r>
      <w:r>
        <w:rPr>
          <w:rFonts w:hint="eastAsia" w:cs="Times New Roman" w:asciiTheme="minorEastAsia" w:hAnsiTheme="minorEastAsia"/>
          <w:snapToGrid w:val="0"/>
          <w:kern w:val="0"/>
          <w:sz w:val="24"/>
          <w:szCs w:val="24"/>
        </w:rPr>
        <w:t>）整体实施计划及施工方案</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9</w:t>
      </w:r>
      <w:r>
        <w:rPr>
          <w:rFonts w:hint="eastAsia" w:cs="Times New Roman" w:asciiTheme="minorEastAsia" w:hAnsiTheme="minorEastAsia"/>
          <w:snapToGrid w:val="0"/>
          <w:kern w:val="0"/>
          <w:sz w:val="24"/>
          <w:szCs w:val="24"/>
        </w:rPr>
        <w:t>）售后服务及承诺</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10</w:t>
      </w:r>
      <w:r>
        <w:rPr>
          <w:rFonts w:hint="eastAsia" w:cs="Times New Roman" w:asciiTheme="minorEastAsia" w:hAnsiTheme="minorEastAsia"/>
          <w:snapToGrid w:val="0"/>
          <w:kern w:val="0"/>
          <w:sz w:val="24"/>
          <w:szCs w:val="24"/>
        </w:rPr>
        <w:t>）保密承诺书</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11</w:t>
      </w:r>
      <w:r>
        <w:rPr>
          <w:rFonts w:hint="eastAsia" w:cs="Times New Roman" w:asciiTheme="minorEastAsia" w:hAnsiTheme="minorEastAsia"/>
          <w:snapToGrid w:val="0"/>
          <w:kern w:val="0"/>
          <w:sz w:val="24"/>
          <w:szCs w:val="24"/>
        </w:rPr>
        <w:t>）近3年中标成交案例及同类项目案例</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12</w:t>
      </w:r>
      <w:r>
        <w:rPr>
          <w:rFonts w:hint="eastAsia" w:cs="Times New Roman" w:asciiTheme="minorEastAsia" w:hAnsiTheme="minorEastAsia"/>
          <w:snapToGrid w:val="0"/>
          <w:kern w:val="0"/>
          <w:sz w:val="24"/>
          <w:szCs w:val="24"/>
        </w:rPr>
        <w:t>）法定代表人资格证明书</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13</w:t>
      </w:r>
      <w:r>
        <w:rPr>
          <w:rFonts w:hint="eastAsia" w:cs="Times New Roman" w:asciiTheme="minorEastAsia" w:hAnsiTheme="minorEastAsia"/>
          <w:snapToGrid w:val="0"/>
          <w:kern w:val="0"/>
          <w:sz w:val="24"/>
          <w:szCs w:val="24"/>
        </w:rPr>
        <w:t>）法定代表人授权书</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14</w:t>
      </w:r>
      <w:r>
        <w:rPr>
          <w:rFonts w:hint="eastAsia" w:cs="Times New Roman" w:asciiTheme="minorEastAsia" w:hAnsiTheme="minorEastAsia"/>
          <w:snapToGrid w:val="0"/>
          <w:kern w:val="0"/>
          <w:sz w:val="24"/>
          <w:szCs w:val="24"/>
        </w:rPr>
        <w:t>）技术评审表</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w:t>
      </w:r>
      <w:r>
        <w:rPr>
          <w:rFonts w:cs="Times New Roman" w:asciiTheme="minorEastAsia" w:hAnsiTheme="minorEastAsia"/>
          <w:snapToGrid w:val="0"/>
          <w:kern w:val="0"/>
          <w:sz w:val="24"/>
          <w:szCs w:val="24"/>
        </w:rPr>
        <w:t>15</w:t>
      </w:r>
      <w:r>
        <w:rPr>
          <w:rFonts w:hint="eastAsia" w:cs="Times New Roman" w:asciiTheme="minorEastAsia" w:hAnsiTheme="minorEastAsia"/>
          <w:snapToGrid w:val="0"/>
          <w:kern w:val="0"/>
          <w:sz w:val="24"/>
          <w:szCs w:val="24"/>
        </w:rPr>
        <w:t>）商务评审表</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w:t>
      </w:r>
      <w:r>
        <w:rPr>
          <w:rFonts w:cs="Times New Roman" w:asciiTheme="minorEastAsia" w:hAnsiTheme="minorEastAsia"/>
          <w:kern w:val="0"/>
          <w:sz w:val="24"/>
          <w:szCs w:val="24"/>
        </w:rPr>
        <w:t>6</w:t>
      </w:r>
      <w:r>
        <w:rPr>
          <w:rFonts w:hint="eastAsia" w:cs="Times New Roman" w:asciiTheme="minorEastAsia" w:hAnsiTheme="minorEastAsia"/>
          <w:kern w:val="0"/>
          <w:sz w:val="24"/>
          <w:szCs w:val="24"/>
        </w:rPr>
        <w:t>）供应商认为需要加以说明的其他内容</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3.资格证明文件包括（除必须要求原件外，其他资料原件和复印件均可）：</w:t>
      </w:r>
    </w:p>
    <w:p>
      <w:pPr>
        <w:spacing w:line="360" w:lineRule="auto"/>
        <w:ind w:firstLine="484" w:firstLineChars="202"/>
        <w:rPr>
          <w:rFonts w:ascii="宋体" w:hAnsi="宋体"/>
          <w:bCs/>
          <w:sz w:val="24"/>
          <w:szCs w:val="32"/>
        </w:rPr>
      </w:pPr>
      <w:r>
        <w:rPr>
          <w:rFonts w:hint="eastAsia" w:cs="Times New Roman" w:asciiTheme="minorEastAsia" w:hAnsiTheme="minorEastAsia"/>
          <w:kern w:val="0"/>
          <w:sz w:val="24"/>
          <w:szCs w:val="24"/>
        </w:rPr>
        <w:t>（1）.具有独立承担民事责任的能力；</w:t>
      </w:r>
      <w:r>
        <w:rPr>
          <w:rFonts w:hint="eastAsia" w:ascii="宋体" w:hAnsi="宋体"/>
          <w:bCs/>
          <w:sz w:val="24"/>
          <w:szCs w:val="32"/>
        </w:rPr>
        <w:t>（提供法人或者其他组织的营业执照等证明文件，自然人的身份证明）</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（2）.具有良好的商业信誉和健全的财务会计制度；（提供参加本次政府采购活动前的会计报表至少包含资产负债表、利润表、资金流量表所有者权益变动表及附注）</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（3）.具有履行合同所必需的设备和专业技术能力；（提供</w:t>
      </w:r>
      <w:r>
        <w:rPr>
          <w:rFonts w:cs="Times New Roman" w:asciiTheme="minorEastAsia" w:hAnsiTheme="minorEastAsia"/>
          <w:kern w:val="0"/>
          <w:sz w:val="24"/>
          <w:szCs w:val="24"/>
        </w:rPr>
        <w:t>承诺书</w:t>
      </w:r>
      <w:r>
        <w:rPr>
          <w:rFonts w:hint="eastAsia"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（4）.有依法缴纳税收和社会保障资金的良好记录；（提供参加本次政府采购活动前三个月内（至少一个月）依法缴纳税收和社会保障资金的相关材料）</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（5）.参加政府采购活动前3年内，在经营活动中没有重大违法记录；（提供参加政府采购活动前3年内在经营活动中没有重大违法记录的书面声明）</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（6）.法律、行政法规规定的其他条件。（提供</w:t>
      </w:r>
      <w:r>
        <w:rPr>
          <w:rFonts w:cs="Times New Roman" w:asciiTheme="minorEastAsia" w:hAnsiTheme="minorEastAsia"/>
          <w:kern w:val="0"/>
          <w:sz w:val="24"/>
          <w:szCs w:val="24"/>
        </w:rPr>
        <w:t>承诺书</w:t>
      </w:r>
      <w:r>
        <w:rPr>
          <w:rFonts w:hint="eastAsia" w:cs="Times New Roman" w:asciiTheme="minorEastAsia" w:hAnsiTheme="minorEastAsia"/>
          <w:kern w:val="0"/>
          <w:sz w:val="24"/>
          <w:szCs w:val="24"/>
        </w:rPr>
        <w:t>）</w:t>
      </w:r>
    </w:p>
    <w:p>
      <w:pPr>
        <w:tabs>
          <w:tab w:val="left" w:pos="0"/>
        </w:tabs>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7）.单位负责人为同一人或者存在直接控股、管理关系的不同供应商，不得同时参加同一包的采购活动。生产型企业生产场地为同一地址的，销售型企业之间股东有关联的，一律视为有直接控股、管理关系。供应商之间有上述关系的，应主动声明，否则将给予列入不良记录名单、3年内不得参加我单位采购活动的处罚。</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供应商必须按上述统一格式及顺序向采购人提供《价格文件》《投标书》和《资格证明文件》，否则可能被视为无效投标。</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（四）响应文件的格式规定和签署</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1.</w:t>
      </w:r>
      <w:r>
        <w:rPr>
          <w:rFonts w:hint="eastAsia" w:asciiTheme="minorEastAsia" w:hAnsiTheme="minorEastAsia"/>
          <w:kern w:val="0"/>
          <w:sz w:val="24"/>
          <w:szCs w:val="24"/>
        </w:rPr>
        <w:t xml:space="preserve"> 响应文件应当工整、规范、统一、清晰，采用A4幅面纸胶装成册、标注页码</w:t>
      </w:r>
      <w:r>
        <w:rPr>
          <w:rFonts w:hint="eastAsia"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snapToGrid w:val="0"/>
          <w:kern w:val="0"/>
          <w:sz w:val="24"/>
          <w:szCs w:val="24"/>
        </w:rPr>
        <w:t>2.</w:t>
      </w:r>
      <w:r>
        <w:rPr>
          <w:rFonts w:hint="eastAsia" w:cs="Times New Roman" w:asciiTheme="minorEastAsia" w:hAnsiTheme="minorEastAsia"/>
          <w:kern w:val="0"/>
          <w:sz w:val="24"/>
          <w:szCs w:val="24"/>
        </w:rPr>
        <w:t>供应商应当按照谈判文件规定的统一格式填写响应文件，响应文件开始部分应当有目录，以及方便评审委员会评审使用的项目索引。</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3.供应商名称应当填写全称，同时加盖单位公章。</w:t>
      </w:r>
    </w:p>
    <w:p>
      <w:pPr>
        <w:spacing w:line="360" w:lineRule="auto"/>
        <w:ind w:firstLine="480" w:firstLineChars="200"/>
        <w:rPr>
          <w:rFonts w:cs="宋体" w:asciiTheme="minorEastAsia" w:hAnsiTheme="minorEastAsia"/>
          <w:snapToGrid w:val="0"/>
          <w:kern w:val="0"/>
          <w:sz w:val="24"/>
          <w:szCs w:val="24"/>
          <w:lang w:val="zh-CN"/>
        </w:rPr>
      </w:pPr>
      <w:r>
        <w:rPr>
          <w:rFonts w:hint="eastAsia" w:cs="Times New Roman" w:asciiTheme="minorEastAsia" w:hAnsiTheme="minorEastAsia"/>
          <w:kern w:val="0"/>
          <w:sz w:val="24"/>
          <w:szCs w:val="24"/>
        </w:rPr>
        <w:t>4.价格文件、投标书、资格证明文件须单独封装。其中，价格文件一式</w:t>
      </w:r>
      <w:r>
        <w:rPr>
          <w:rFonts w:cs="Times New Roman" w:asciiTheme="minorEastAsia" w:hAnsiTheme="minorEastAsia"/>
          <w:kern w:val="0"/>
          <w:sz w:val="24"/>
          <w:szCs w:val="24"/>
        </w:rPr>
        <w:t>3</w:t>
      </w:r>
      <w:r>
        <w:rPr>
          <w:rFonts w:hint="eastAsia" w:cs="Times New Roman" w:asciiTheme="minorEastAsia" w:hAnsiTheme="minorEastAsia"/>
          <w:kern w:val="0"/>
          <w:sz w:val="24"/>
          <w:szCs w:val="24"/>
        </w:rPr>
        <w:t>份，其中正本1份，副本</w:t>
      </w:r>
      <w:r>
        <w:rPr>
          <w:rFonts w:cs="Times New Roman" w:asciiTheme="minorEastAsia" w:hAnsiTheme="minorEastAsia"/>
          <w:kern w:val="0"/>
          <w:sz w:val="24"/>
          <w:szCs w:val="24"/>
        </w:rPr>
        <w:t>2</w:t>
      </w:r>
      <w:r>
        <w:rPr>
          <w:rFonts w:hint="eastAsia" w:cs="Times New Roman" w:asciiTheme="minorEastAsia" w:hAnsiTheme="minorEastAsia"/>
          <w:kern w:val="0"/>
          <w:sz w:val="24"/>
          <w:szCs w:val="24"/>
        </w:rPr>
        <w:t>份；投标书一式3份，其中正本1份，副本2份；资格证明文件一式3份，其中正本1份，副本2份。在每一份文件上要注明“正本”或“副本”字样。如果正本与副本不符，以正本为准。</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5.响应文件必须打印或用黑色、蓝黑色墨水填写。</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6.开标一览表必须按照规定的格式填写，不得自行增减内容。</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7.响应文件必须由法定代表人或授权代表签署。</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8.响应文件不得随意涂改和增删。如有修改错漏之处，必须由法定代表人或授权代表签字、盖章。</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cs="Times New Roman" w:asciiTheme="minorEastAsia" w:hAnsiTheme="minorEastAsia"/>
          <w:kern w:val="0"/>
          <w:sz w:val="24"/>
          <w:szCs w:val="24"/>
        </w:rPr>
        <w:t>9</w:t>
      </w:r>
      <w:r>
        <w:rPr>
          <w:rFonts w:hint="eastAsia" w:cs="Times New Roman" w:asciiTheme="minorEastAsia" w:hAnsiTheme="minorEastAsia"/>
          <w:kern w:val="0"/>
          <w:sz w:val="24"/>
          <w:szCs w:val="24"/>
        </w:rPr>
        <w:t>.响应文件</w:t>
      </w:r>
      <w:r>
        <w:rPr>
          <w:rFonts w:hint="eastAsia" w:cs="Times New Roman" w:asciiTheme="minorEastAsia" w:hAnsiTheme="minorEastAsia"/>
          <w:kern w:val="0"/>
          <w:sz w:val="24"/>
          <w:szCs w:val="24"/>
          <w:lang w:val="zh-CN"/>
        </w:rPr>
        <w:t>因字迹潦草或表述不清以及复印件不清所引起的后果由供应商自行负责</w:t>
      </w:r>
      <w:r>
        <w:rPr>
          <w:rFonts w:hint="eastAsia" w:cs="Times New Roman" w:asciiTheme="minorEastAsia" w:hAnsiTheme="minorEastAsia"/>
          <w:kern w:val="0"/>
          <w:sz w:val="24"/>
          <w:szCs w:val="24"/>
        </w:rPr>
        <w:t>。</w:t>
      </w:r>
    </w:p>
    <w:p>
      <w:pPr>
        <w:tabs>
          <w:tab w:val="left" w:pos="-1418"/>
        </w:tabs>
        <w:autoSpaceDE w:val="0"/>
        <w:autoSpaceDN w:val="0"/>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kern w:val="0"/>
          <w:sz w:val="24"/>
          <w:szCs w:val="24"/>
        </w:rPr>
        <w:t>（五）</w:t>
      </w:r>
      <w:r>
        <w:rPr>
          <w:rFonts w:hint="eastAsia" w:cs="Times New Roman" w:asciiTheme="minorEastAsia" w:hAnsiTheme="minorEastAsia"/>
          <w:snapToGrid w:val="0"/>
          <w:kern w:val="0"/>
          <w:sz w:val="24"/>
          <w:szCs w:val="24"/>
        </w:rPr>
        <w:t>响应文件有效期</w:t>
      </w:r>
    </w:p>
    <w:p>
      <w:pPr>
        <w:tabs>
          <w:tab w:val="left" w:pos="-1418"/>
        </w:tabs>
        <w:autoSpaceDE w:val="0"/>
        <w:autoSpaceDN w:val="0"/>
        <w:spacing w:line="360" w:lineRule="auto"/>
        <w:ind w:firstLine="480" w:firstLineChars="200"/>
        <w:rPr>
          <w:rFonts w:cs="Times New Roman" w:asciiTheme="minorEastAsia" w:hAnsiTheme="minorEastAsia"/>
          <w:kern w:val="0"/>
          <w:sz w:val="24"/>
          <w:szCs w:val="24"/>
          <w:lang w:val="zh-CN"/>
        </w:rPr>
      </w:pPr>
      <w:r>
        <w:rPr>
          <w:rFonts w:hint="eastAsia" w:cs="Times New Roman" w:asciiTheme="minorEastAsia" w:hAnsiTheme="minorEastAsia"/>
          <w:snapToGrid w:val="0"/>
          <w:kern w:val="0"/>
          <w:sz w:val="24"/>
          <w:szCs w:val="24"/>
        </w:rPr>
        <w:t>1.</w:t>
      </w:r>
      <w:r>
        <w:rPr>
          <w:rFonts w:hint="eastAsia" w:cs="Times New Roman" w:asciiTheme="minorEastAsia" w:hAnsiTheme="minorEastAsia"/>
          <w:kern w:val="0"/>
          <w:sz w:val="24"/>
          <w:szCs w:val="24"/>
          <w:lang w:val="zh-CN"/>
        </w:rPr>
        <w:t>响应文件自投标截止时间起</w:t>
      </w:r>
      <w:r>
        <w:rPr>
          <w:rFonts w:hint="eastAsia" w:cs="宋体" w:asciiTheme="minorEastAsia" w:hAnsiTheme="minorEastAsia"/>
          <w:snapToGrid w:val="0"/>
          <w:kern w:val="0"/>
          <w:sz w:val="24"/>
          <w:szCs w:val="24"/>
          <w:lang w:val="zh-CN"/>
        </w:rPr>
        <w:t>60</w:t>
      </w:r>
      <w:r>
        <w:rPr>
          <w:rFonts w:hint="eastAsia" w:cs="Times New Roman" w:asciiTheme="minorEastAsia" w:hAnsiTheme="minorEastAsia"/>
          <w:kern w:val="0"/>
          <w:sz w:val="24"/>
          <w:szCs w:val="24"/>
          <w:lang w:val="zh-CN"/>
        </w:rPr>
        <w:t>日内保持有效。</w:t>
      </w:r>
    </w:p>
    <w:p>
      <w:pPr>
        <w:tabs>
          <w:tab w:val="left" w:pos="-1418"/>
        </w:tabs>
        <w:autoSpaceDE w:val="0"/>
        <w:autoSpaceDN w:val="0"/>
        <w:spacing w:line="360" w:lineRule="auto"/>
        <w:ind w:firstLine="480" w:firstLineChars="200"/>
        <w:rPr>
          <w:rFonts w:cs="Times New Roman" w:asciiTheme="minorEastAsia" w:hAnsiTheme="minorEastAsia"/>
          <w:kern w:val="0"/>
          <w:sz w:val="24"/>
          <w:szCs w:val="24"/>
          <w:lang w:val="zh-CN"/>
        </w:rPr>
      </w:pPr>
      <w:r>
        <w:rPr>
          <w:rFonts w:hint="eastAsia" w:cs="Times New Roman" w:asciiTheme="minorEastAsia" w:hAnsiTheme="minorEastAsia"/>
          <w:kern w:val="0"/>
          <w:sz w:val="24"/>
          <w:szCs w:val="24"/>
          <w:lang w:val="zh-CN"/>
        </w:rPr>
        <w:t>2.响应文件有效期需要延长的，采购人可与供应商进行协商，并以书面形式予以确认，谈判保证金有效期相应延长。供应商拒绝延长有效期不影响退还谈判保证金。同意延长有效期的供应商不能修改响应文件。</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lang w:val="zh-CN"/>
        </w:rPr>
        <w:t>3.在谈判过程中</w:t>
      </w:r>
      <w:r>
        <w:rPr>
          <w:rFonts w:hint="eastAsia" w:cs="Times New Roman" w:asciiTheme="minorEastAsia" w:hAnsiTheme="minorEastAsia"/>
          <w:kern w:val="0"/>
          <w:sz w:val="24"/>
          <w:szCs w:val="24"/>
        </w:rPr>
        <w:t>，供应商发生合并、分立、破产等重大变化时，应当及时书面告知采购人。</w:t>
      </w:r>
    </w:p>
    <w:p>
      <w:pPr>
        <w:tabs>
          <w:tab w:val="left" w:pos="-1418"/>
        </w:tabs>
        <w:autoSpaceDE w:val="0"/>
        <w:autoSpaceDN w:val="0"/>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kern w:val="0"/>
          <w:sz w:val="24"/>
          <w:szCs w:val="24"/>
        </w:rPr>
        <w:t>（六）投标</w:t>
      </w:r>
      <w:r>
        <w:rPr>
          <w:rFonts w:hint="eastAsia" w:cs="Times New Roman" w:asciiTheme="minorEastAsia" w:hAnsiTheme="minorEastAsia"/>
          <w:snapToGrid w:val="0"/>
          <w:kern w:val="0"/>
          <w:sz w:val="24"/>
          <w:szCs w:val="24"/>
        </w:rPr>
        <w:t>报价</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snapToGrid w:val="0"/>
          <w:kern w:val="0"/>
          <w:sz w:val="24"/>
          <w:szCs w:val="24"/>
        </w:rPr>
        <w:t>1.</w:t>
      </w:r>
      <w:r>
        <w:rPr>
          <w:rFonts w:hint="eastAsia" w:cs="Times New Roman" w:asciiTheme="minorEastAsia" w:hAnsiTheme="minorEastAsia"/>
          <w:kern w:val="0"/>
          <w:sz w:val="24"/>
          <w:szCs w:val="24"/>
          <w:lang w:val="zh-CN"/>
        </w:rPr>
        <w:t>所有报价均以人民币为货币单位</w:t>
      </w:r>
      <w:r>
        <w:rPr>
          <w:rFonts w:hint="eastAsia" w:cs="Times New Roman" w:asciiTheme="minorEastAsia" w:hAnsiTheme="minorEastAsia"/>
          <w:kern w:val="0"/>
          <w:sz w:val="24"/>
          <w:szCs w:val="24"/>
        </w:rPr>
        <w:t>。</w:t>
      </w:r>
    </w:p>
    <w:p>
      <w:pPr>
        <w:tabs>
          <w:tab w:val="left" w:pos="-1418"/>
        </w:tabs>
        <w:autoSpaceDE w:val="0"/>
        <w:autoSpaceDN w:val="0"/>
        <w:spacing w:line="360" w:lineRule="auto"/>
        <w:ind w:firstLine="480" w:firstLineChars="200"/>
        <w:rPr>
          <w:rFonts w:cs="宋体" w:asciiTheme="minorEastAsia" w:hAnsiTheme="minorEastAsia"/>
          <w:snapToGrid w:val="0"/>
          <w:kern w:val="0"/>
          <w:sz w:val="24"/>
          <w:szCs w:val="24"/>
          <w:lang w:val="zh-CN"/>
        </w:rPr>
      </w:pPr>
      <w:r>
        <w:rPr>
          <w:rFonts w:hint="eastAsia" w:cs="Times New Roman" w:asciiTheme="minorEastAsia" w:hAnsiTheme="minorEastAsia"/>
          <w:kern w:val="0"/>
          <w:sz w:val="24"/>
          <w:szCs w:val="24"/>
        </w:rPr>
        <w:t>2.</w:t>
      </w:r>
      <w:r>
        <w:rPr>
          <w:rFonts w:hint="eastAsia" w:cs="Times New Roman" w:asciiTheme="minorEastAsia" w:hAnsiTheme="minorEastAsia"/>
          <w:kern w:val="0"/>
          <w:sz w:val="24"/>
          <w:szCs w:val="24"/>
          <w:lang w:val="zh-CN"/>
        </w:rPr>
        <w:t>所有单价和总价按照开标一览表格式要求填报。</w:t>
      </w:r>
      <w:r>
        <w:rPr>
          <w:rFonts w:hint="eastAsia" w:cs="宋体" w:asciiTheme="minorEastAsia" w:hAnsiTheme="minorEastAsia"/>
          <w:snapToGrid w:val="0"/>
          <w:kern w:val="0"/>
          <w:sz w:val="24"/>
          <w:szCs w:val="24"/>
          <w:lang w:val="zh-CN"/>
        </w:rPr>
        <w:t>报价应包括货款、标准附件、备品备件、专用工具、包装、安装、调试、培训、保修等费用和税金。</w:t>
      </w:r>
    </w:p>
    <w:p>
      <w:pPr>
        <w:tabs>
          <w:tab w:val="left" w:pos="-1418"/>
        </w:tabs>
        <w:autoSpaceDE w:val="0"/>
        <w:autoSpaceDN w:val="0"/>
        <w:spacing w:line="360" w:lineRule="auto"/>
        <w:ind w:firstLine="480" w:firstLineChars="200"/>
        <w:rPr>
          <w:rFonts w:cs="Times New Roman" w:asciiTheme="minorEastAsia" w:hAnsiTheme="minorEastAsia"/>
          <w:kern w:val="0"/>
          <w:sz w:val="24"/>
          <w:szCs w:val="24"/>
          <w:lang w:val="zh-CN"/>
        </w:rPr>
      </w:pPr>
      <w:r>
        <w:rPr>
          <w:rFonts w:hint="eastAsia" w:cs="宋体" w:asciiTheme="minorEastAsia" w:hAnsiTheme="minorEastAsia"/>
          <w:snapToGrid w:val="0"/>
          <w:kern w:val="0"/>
          <w:sz w:val="24"/>
          <w:szCs w:val="24"/>
          <w:lang w:val="zh-CN"/>
        </w:rPr>
        <w:t>3.</w:t>
      </w:r>
      <w:r>
        <w:rPr>
          <w:rFonts w:hint="eastAsia" w:cs="Times New Roman" w:asciiTheme="minorEastAsia" w:hAnsiTheme="minorEastAsia"/>
          <w:kern w:val="0"/>
          <w:sz w:val="24"/>
          <w:szCs w:val="24"/>
          <w:lang w:val="zh-CN"/>
        </w:rPr>
        <w:t>响应文件的大写金额与小写金额不一致的，以大写金额为准，但大写金额出现文字错误，导致金额无法判断的除外；总价金额与按单价汇总金额不一致的，以各项单价金额计算结果为准，但是单价金额出现计算错误、明显人为工作失误的除外；单价金额小数点有明显错位的，以总价为准，并修改单价。不同语言文本响应文件的解释发生异议的，以中文文本为准。供应商不接受以上修正的视为无效投标。</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lang w:val="zh-CN"/>
        </w:rPr>
        <w:t>4.供应商</w:t>
      </w:r>
      <w:r>
        <w:rPr>
          <w:rFonts w:hint="eastAsia" w:cs="Times New Roman" w:asciiTheme="minorEastAsia" w:hAnsiTheme="minorEastAsia"/>
          <w:kern w:val="0"/>
          <w:sz w:val="24"/>
          <w:szCs w:val="24"/>
        </w:rPr>
        <w:t>对同一种货物只允许有一种报价，采购人不接受任何有选择的报价或者有附加条件的报价。</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评审委员会对供应商每个项目各品种物资报价进行评定。若五分之四以上评委认定报价或者重要分项报价明显不合理或者低于成本，有可能影响产品质量和不能诚信履约的，评审委员会应当要求其在规定时限内提供书面文件予以解释说明，并提交相关证明材料，否则评审委员会有权视其为低价恶意竞争，其投标报价无效。</w:t>
      </w:r>
    </w:p>
    <w:p>
      <w:pPr>
        <w:tabs>
          <w:tab w:val="left" w:pos="-1418"/>
        </w:tabs>
        <w:autoSpaceDE w:val="0"/>
        <w:autoSpaceDN w:val="0"/>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kern w:val="0"/>
          <w:sz w:val="24"/>
          <w:szCs w:val="24"/>
        </w:rPr>
        <w:t>（七）</w:t>
      </w:r>
      <w:r>
        <w:rPr>
          <w:rFonts w:hint="eastAsia" w:cs="Times New Roman" w:asciiTheme="minorEastAsia" w:hAnsiTheme="minorEastAsia"/>
          <w:snapToGrid w:val="0"/>
          <w:kern w:val="0"/>
          <w:sz w:val="24"/>
          <w:szCs w:val="24"/>
        </w:rPr>
        <w:t>谈判保证金</w:t>
      </w:r>
    </w:p>
    <w:p>
      <w:pPr>
        <w:tabs>
          <w:tab w:val="left" w:pos="-1418"/>
        </w:tabs>
        <w:autoSpaceDE w:val="0"/>
        <w:autoSpaceDN w:val="0"/>
        <w:spacing w:line="360" w:lineRule="auto"/>
        <w:ind w:firstLine="480" w:firstLineChars="200"/>
        <w:rPr>
          <w:rFonts w:cs="Times New Roman" w:asciiTheme="minorEastAsia" w:hAnsiTheme="minorEastAsia"/>
          <w:color w:val="FF0000"/>
          <w:kern w:val="0"/>
          <w:sz w:val="24"/>
          <w:szCs w:val="24"/>
        </w:rPr>
      </w:pPr>
      <w:r>
        <w:rPr>
          <w:rFonts w:hint="eastAsia" w:cs="Times New Roman" w:asciiTheme="minorEastAsia" w:hAnsiTheme="minorEastAsia"/>
          <w:snapToGrid w:val="0"/>
          <w:kern w:val="0"/>
          <w:sz w:val="24"/>
          <w:szCs w:val="24"/>
          <w:highlight w:val="yellow"/>
        </w:rPr>
        <w:t>1.</w:t>
      </w:r>
      <w:r>
        <w:rPr>
          <w:rFonts w:hint="eastAsia" w:cs="Times New Roman" w:asciiTheme="minorEastAsia" w:hAnsiTheme="minorEastAsia"/>
          <w:kern w:val="0"/>
          <w:sz w:val="24"/>
          <w:szCs w:val="24"/>
          <w:highlight w:val="yellow"/>
          <w:lang w:val="zh-CN"/>
        </w:rPr>
        <w:t>供应商应当在谈判截止时间前向采购代理机构交纳</w:t>
      </w:r>
      <w:r>
        <w:rPr>
          <w:rFonts w:hint="eastAsia" w:cs="Times New Roman" w:asciiTheme="minorEastAsia" w:hAnsiTheme="minorEastAsia"/>
          <w:color w:val="FF0000"/>
          <w:kern w:val="0"/>
          <w:sz w:val="24"/>
          <w:szCs w:val="24"/>
          <w:highlight w:val="yellow"/>
          <w:lang w:val="zh-CN"/>
        </w:rPr>
        <w:t>10000元谈判保证金</w:t>
      </w:r>
      <w:r>
        <w:rPr>
          <w:rFonts w:hint="eastAsia" w:cs="Times New Roman" w:asciiTheme="minorEastAsia" w:hAnsiTheme="minorEastAsia"/>
          <w:color w:val="FF0000"/>
          <w:kern w:val="0"/>
          <w:sz w:val="24"/>
          <w:szCs w:val="24"/>
          <w:highlight w:val="yellow"/>
        </w:rPr>
        <w:t>。</w:t>
      </w:r>
    </w:p>
    <w:p>
      <w:pPr>
        <w:tabs>
          <w:tab w:val="left" w:pos="-1418"/>
        </w:tabs>
        <w:autoSpaceDE w:val="0"/>
        <w:autoSpaceDN w:val="0"/>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kern w:val="0"/>
          <w:sz w:val="24"/>
          <w:szCs w:val="24"/>
        </w:rPr>
        <w:t>2.</w:t>
      </w:r>
      <w:r>
        <w:rPr>
          <w:rFonts w:hint="eastAsia" w:asciiTheme="minorEastAsia" w:hAnsiTheme="minorEastAsia"/>
          <w:kern w:val="0"/>
          <w:sz w:val="24"/>
          <w:szCs w:val="24"/>
          <w:u w:color="000000"/>
        </w:rPr>
        <w:t>谈判保证金只能采取电汇或网上银行支付的方式交纳，在投标截止时间前必须到达采购人账户内，未到账的投标将被拒绝</w:t>
      </w:r>
      <w:r>
        <w:rPr>
          <w:rFonts w:hint="eastAsia" w:cs="Times New Roman" w:asciiTheme="minorEastAsia" w:hAnsiTheme="minorEastAsia"/>
          <w:snapToGrid w:val="0"/>
          <w:kern w:val="0"/>
          <w:sz w:val="24"/>
          <w:szCs w:val="24"/>
        </w:rPr>
        <w:t>。</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3.成交人的谈判保证金，在签订正式合同后5个工作日内全额无息退还。未成交供应商的谈判保证金，将在采购人发出未中标通知书后5个工作日内全额无息退还。</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4.有下列情况之一的，谈判保证金将不予退还：</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(1)开标后供应商在投标有效期内撤回其响应文件的；</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(2)供应商干扰开标、评标活动，造成严重影响和后果的；</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(3)虚假投标、串通投标的；</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(4)成交人无正当理由放弃中标的；</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(5)成交人不按谈判文件规定签订合同的；</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(6)其他违反国家法律法规行为的。</w:t>
      </w:r>
    </w:p>
    <w:p>
      <w:pPr>
        <w:tabs>
          <w:tab w:val="left" w:pos="-1418"/>
        </w:tabs>
        <w:autoSpaceDE w:val="0"/>
        <w:autoSpaceDN w:val="0"/>
        <w:spacing w:line="360" w:lineRule="auto"/>
        <w:ind w:firstLine="480" w:firstLineChars="200"/>
        <w:rPr>
          <w:rFonts w:cs="Times New Roman" w:asciiTheme="minorEastAsia" w:hAnsiTheme="minorEastAsia"/>
          <w:kern w:val="0"/>
          <w:sz w:val="24"/>
          <w:szCs w:val="24"/>
        </w:rPr>
      </w:pPr>
    </w:p>
    <w:p>
      <w:pPr>
        <w:spacing w:line="360" w:lineRule="auto"/>
        <w:rPr>
          <w:rFonts w:cs="Times New Roman" w:asciiTheme="minorEastAsia" w:hAnsiTheme="minorEastAsia"/>
          <w:kern w:val="0"/>
          <w:sz w:val="24"/>
          <w:szCs w:val="24"/>
        </w:rPr>
      </w:pPr>
      <w:r>
        <w:rPr>
          <w:rFonts w:hint="eastAsia" w:cs="Times New Roman" w:asciiTheme="minorEastAsia" w:hAnsiTheme="minorEastAsia"/>
          <w:kern w:val="0"/>
          <w:sz w:val="24"/>
          <w:szCs w:val="24"/>
        </w:rPr>
        <w:br w:type="page"/>
      </w:r>
    </w:p>
    <w:p>
      <w:pPr>
        <w:spacing w:line="360" w:lineRule="auto"/>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四、响应文件</w:t>
      </w:r>
      <w:r>
        <w:rPr>
          <w:rFonts w:cs="Times New Roman" w:asciiTheme="minorEastAsia" w:hAnsiTheme="minorEastAsia"/>
          <w:b/>
          <w:kern w:val="0"/>
          <w:sz w:val="28"/>
          <w:szCs w:val="28"/>
        </w:rPr>
        <w:t>递交</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（一）响应文件密封及标记</w:t>
      </w:r>
    </w:p>
    <w:p>
      <w:pPr>
        <w:spacing w:line="360" w:lineRule="auto"/>
        <w:ind w:firstLine="480" w:firstLineChars="200"/>
        <w:rPr>
          <w:rFonts w:asciiTheme="minorEastAsia" w:hAnsiTheme="minorEastAsia"/>
          <w:sz w:val="24"/>
          <w:szCs w:val="24"/>
        </w:rPr>
      </w:pPr>
      <w:r>
        <w:rPr>
          <w:rFonts w:hint="eastAsia" w:cs="Times New Roman" w:asciiTheme="minorEastAsia" w:hAnsiTheme="minorEastAsia"/>
          <w:snapToGrid w:val="0"/>
          <w:kern w:val="0"/>
          <w:sz w:val="24"/>
          <w:szCs w:val="24"/>
        </w:rPr>
        <w:t>1.</w:t>
      </w:r>
      <w:r>
        <w:rPr>
          <w:rFonts w:hint="eastAsia" w:asciiTheme="minorEastAsia" w:hAnsiTheme="minorEastAsia"/>
          <w:sz w:val="24"/>
          <w:szCs w:val="24"/>
        </w:rPr>
        <w:t>价格文件须单独密封、单独递交，与其他文件合并封装的，视为无效投标。</w:t>
      </w:r>
    </w:p>
    <w:p>
      <w:pPr>
        <w:spacing w:line="360" w:lineRule="auto"/>
        <w:ind w:firstLine="480" w:firstLineChars="200"/>
        <w:rPr>
          <w:rFonts w:cs="Times New Roman" w:asciiTheme="minorEastAsia" w:hAnsiTheme="minorEastAsia"/>
          <w:bCs/>
          <w:kern w:val="0"/>
          <w:sz w:val="24"/>
          <w:szCs w:val="24"/>
        </w:rPr>
      </w:pPr>
      <w:r>
        <w:rPr>
          <w:rFonts w:hint="eastAsia" w:cs="Times New Roman" w:asciiTheme="minorEastAsia" w:hAnsiTheme="minorEastAsia"/>
          <w:bCs/>
          <w:kern w:val="0"/>
          <w:sz w:val="24"/>
          <w:szCs w:val="24"/>
        </w:rPr>
        <w:t>2.投标书、资格证明文件的正本和副本统一装入密封袋内，封口处应当有供应商单位公章，封面上注明“项目名称、项目编号、所投包号、供应商名称”和“开标时启封”字样。</w:t>
      </w:r>
    </w:p>
    <w:p>
      <w:pPr>
        <w:spacing w:line="360" w:lineRule="auto"/>
        <w:ind w:firstLine="480" w:firstLineChars="200"/>
        <w:rPr>
          <w:rFonts w:cs="Times New Roman" w:asciiTheme="minorEastAsia" w:hAnsiTheme="minorEastAsia"/>
          <w:bCs/>
          <w:kern w:val="0"/>
          <w:sz w:val="24"/>
          <w:szCs w:val="24"/>
        </w:rPr>
      </w:pPr>
      <w:r>
        <w:rPr>
          <w:rFonts w:hint="eastAsia" w:cs="Times New Roman" w:asciiTheme="minorEastAsia" w:hAnsiTheme="minorEastAsia"/>
          <w:bCs/>
          <w:kern w:val="0"/>
          <w:sz w:val="24"/>
          <w:szCs w:val="24"/>
        </w:rPr>
        <w:t>3.供应商应当在谈判文件明确的递交响应文件截止时间前，将响应文件送达采购人指定地点。逾期递交的响应文件，采购人将拒收。</w:t>
      </w:r>
    </w:p>
    <w:p>
      <w:pPr>
        <w:spacing w:line="360" w:lineRule="auto"/>
        <w:ind w:firstLine="480" w:firstLineChars="200"/>
        <w:rPr>
          <w:rFonts w:cs="Times New Roman" w:asciiTheme="minorEastAsia" w:hAnsiTheme="minorEastAsia"/>
          <w:bCs/>
          <w:kern w:val="0"/>
          <w:sz w:val="24"/>
          <w:szCs w:val="24"/>
        </w:rPr>
      </w:pPr>
      <w:r>
        <w:rPr>
          <w:rFonts w:hint="eastAsia" w:cs="Times New Roman" w:asciiTheme="minorEastAsia" w:hAnsiTheme="minorEastAsia"/>
          <w:bCs/>
          <w:kern w:val="0"/>
          <w:sz w:val="24"/>
          <w:szCs w:val="24"/>
        </w:rPr>
        <w:t>4.电报、电话、电传、邮寄等形式的响应文件概不接受。</w:t>
      </w:r>
    </w:p>
    <w:p>
      <w:pPr>
        <w:spacing w:line="360" w:lineRule="auto"/>
        <w:ind w:firstLine="480" w:firstLineChars="200"/>
        <w:rPr>
          <w:rFonts w:cs="Times New Roman" w:asciiTheme="minorEastAsia" w:hAnsiTheme="minorEastAsia"/>
          <w:bCs/>
          <w:kern w:val="0"/>
          <w:sz w:val="24"/>
          <w:szCs w:val="24"/>
        </w:rPr>
      </w:pPr>
      <w:r>
        <w:rPr>
          <w:rFonts w:hint="eastAsia" w:cs="Times New Roman" w:asciiTheme="minorEastAsia" w:hAnsiTheme="minorEastAsia"/>
          <w:bCs/>
          <w:kern w:val="0"/>
          <w:sz w:val="24"/>
          <w:szCs w:val="24"/>
        </w:rPr>
        <w:t>5.响应文件未按要求密封、标记的，采购人将拒收。</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kern w:val="0"/>
          <w:sz w:val="24"/>
          <w:szCs w:val="24"/>
          <w:lang w:val="zh-CN"/>
        </w:rPr>
        <w:t>（二）</w:t>
      </w:r>
      <w:r>
        <w:rPr>
          <w:rFonts w:hint="eastAsia" w:cs="Times New Roman" w:asciiTheme="minorEastAsia" w:hAnsiTheme="minorEastAsia"/>
          <w:snapToGrid w:val="0"/>
          <w:kern w:val="0"/>
          <w:sz w:val="24"/>
          <w:szCs w:val="24"/>
        </w:rPr>
        <w:t>响应文件的修改和撤回</w:t>
      </w:r>
    </w:p>
    <w:p>
      <w:pPr>
        <w:spacing w:line="360" w:lineRule="auto"/>
        <w:ind w:firstLine="480" w:firstLineChars="200"/>
        <w:rPr>
          <w:rFonts w:cs="Times New Roman" w:asciiTheme="minorEastAsia" w:hAnsiTheme="minorEastAsia"/>
          <w:kern w:val="0"/>
          <w:sz w:val="24"/>
          <w:szCs w:val="24"/>
          <w:lang w:val="zh-CN"/>
        </w:rPr>
      </w:pPr>
      <w:r>
        <w:rPr>
          <w:rFonts w:hint="eastAsia" w:cs="Times New Roman" w:asciiTheme="minorEastAsia" w:hAnsiTheme="minorEastAsia"/>
          <w:kern w:val="0"/>
          <w:sz w:val="24"/>
          <w:szCs w:val="24"/>
          <w:lang w:val="zh-CN"/>
        </w:rPr>
        <w:t>1.供应商在投标截止时间前，可以对所提交的响应文件进行补充、修改或者撤回。补充、修改的内容应当以书面形式通知采购人，并按照谈判文件要求签署、盖章，作为响应文件的组成部分。</w:t>
      </w:r>
    </w:p>
    <w:p>
      <w:pPr>
        <w:spacing w:line="360" w:lineRule="auto"/>
        <w:ind w:firstLine="480" w:firstLineChars="200"/>
        <w:rPr>
          <w:rFonts w:cs="Times New Roman" w:asciiTheme="minorEastAsia" w:hAnsiTheme="minorEastAsia"/>
          <w:kern w:val="0"/>
          <w:sz w:val="24"/>
          <w:szCs w:val="24"/>
          <w:lang w:val="zh-CN"/>
        </w:rPr>
      </w:pPr>
      <w:r>
        <w:rPr>
          <w:rFonts w:hint="eastAsia" w:cs="Times New Roman" w:asciiTheme="minorEastAsia" w:hAnsiTheme="minorEastAsia"/>
          <w:kern w:val="0"/>
          <w:sz w:val="24"/>
          <w:szCs w:val="24"/>
          <w:lang w:val="zh-CN"/>
        </w:rPr>
        <w:t>2.在投标截止时间之后，采购人将不接受对响应文件内容的实质性修改。</w:t>
      </w:r>
    </w:p>
    <w:p>
      <w:pPr>
        <w:spacing w:line="360" w:lineRule="auto"/>
        <w:ind w:firstLine="480" w:firstLineChars="200"/>
        <w:rPr>
          <w:rFonts w:cs="Times New Roman" w:asciiTheme="minorEastAsia" w:hAnsiTheme="minorEastAsia"/>
          <w:kern w:val="0"/>
          <w:sz w:val="24"/>
          <w:szCs w:val="24"/>
          <w:lang w:val="zh-CN"/>
        </w:rPr>
      </w:pPr>
      <w:r>
        <w:rPr>
          <w:rFonts w:hint="eastAsia" w:cs="Times New Roman" w:asciiTheme="minorEastAsia" w:hAnsiTheme="minorEastAsia"/>
          <w:kern w:val="0"/>
          <w:sz w:val="24"/>
          <w:szCs w:val="24"/>
          <w:lang w:val="zh-CN"/>
        </w:rPr>
        <w:t>3.供应商修改响应文件的书面材料，须密封送达投标地点，并在封面上标明“投标修改文件、项目名称、项目编号、供应商名称”和“开标时启封”字样。</w:t>
      </w:r>
    </w:p>
    <w:p>
      <w:pPr>
        <w:spacing w:line="360" w:lineRule="auto"/>
        <w:ind w:firstLine="480" w:firstLineChars="200"/>
        <w:rPr>
          <w:rFonts w:cs="Times New Roman" w:asciiTheme="minorEastAsia" w:hAnsiTheme="minorEastAsia"/>
          <w:kern w:val="0"/>
          <w:sz w:val="24"/>
          <w:szCs w:val="24"/>
          <w:lang w:val="zh-CN"/>
        </w:rPr>
      </w:pPr>
      <w:r>
        <w:rPr>
          <w:rFonts w:hint="eastAsia" w:cs="Times New Roman" w:asciiTheme="minorEastAsia" w:hAnsiTheme="minorEastAsia"/>
          <w:kern w:val="0"/>
          <w:sz w:val="24"/>
          <w:szCs w:val="24"/>
          <w:lang w:val="zh-CN"/>
        </w:rPr>
        <w:t>4.供应商撤回响应文件应当以书面形式通知采购人。采取电报或传真形式撤回投标的，必须补充法定代表人或授权代表签署、盖章的撤回投标的正式文件。撤回投标的时间以供应商的书面撤回通知送达采购人时间为准。</w:t>
      </w:r>
    </w:p>
    <w:p>
      <w:pPr>
        <w:spacing w:line="360" w:lineRule="auto"/>
        <w:ind w:firstLine="480" w:firstLineChars="200"/>
        <w:rPr>
          <w:rFonts w:cs="Times New Roman" w:asciiTheme="minorEastAsia" w:hAnsiTheme="minorEastAsia"/>
          <w:kern w:val="0"/>
          <w:sz w:val="24"/>
          <w:szCs w:val="24"/>
          <w:lang w:val="zh-CN"/>
        </w:rPr>
      </w:pPr>
      <w:r>
        <w:rPr>
          <w:rFonts w:hint="eastAsia" w:cs="Times New Roman" w:asciiTheme="minorEastAsia" w:hAnsiTheme="minorEastAsia"/>
          <w:kern w:val="0"/>
          <w:sz w:val="24"/>
          <w:szCs w:val="24"/>
          <w:lang w:val="zh-CN"/>
        </w:rPr>
        <w:t>5.谈判开始后后，供应商不得撤回响应文件，否则谈判保证金不予退还。</w:t>
      </w:r>
    </w:p>
    <w:p>
      <w:pPr>
        <w:spacing w:line="360" w:lineRule="auto"/>
        <w:jc w:val="center"/>
        <w:rPr>
          <w:rFonts w:ascii="Times New Roman" w:hAnsi="Times New Roman" w:eastAsia="黑体" w:cs="Times New Roman"/>
          <w:kern w:val="0"/>
          <w:sz w:val="28"/>
          <w:szCs w:val="28"/>
        </w:rPr>
      </w:pPr>
    </w:p>
    <w:p>
      <w:pPr>
        <w:spacing w:line="360" w:lineRule="auto"/>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五、开标与评标</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（一）开标</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1.</w:t>
      </w:r>
      <w:r>
        <w:rPr>
          <w:rFonts w:hint="eastAsia" w:asciiTheme="minorEastAsia" w:hAnsiTheme="minorEastAsia"/>
          <w:kern w:val="0"/>
          <w:sz w:val="24"/>
          <w:szCs w:val="24"/>
        </w:rPr>
        <w:t xml:space="preserve"> 供应商不足2家的不得继续进行，除改用单一来源方式等其他方式外，不得拆封供应商投标（报价）文件，并当场退还供应商”</w:t>
      </w:r>
      <w:r>
        <w:rPr>
          <w:rFonts w:hint="eastAsia" w:cs="Times New Roman" w:asciiTheme="minorEastAsia" w:hAnsiTheme="minorEastAsia"/>
          <w:snapToGrid w:val="0"/>
          <w:kern w:val="0"/>
          <w:sz w:val="24"/>
          <w:szCs w:val="24"/>
        </w:rPr>
        <w:t>。</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2.采购人按谈判文件规定的时间、地点开标。开标大会由采购人或委托采购代理机构主持，供应商和有关方面代表参加。评审委员会成员不得参加开标大会。</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3.开标时，由采购人委托的公证机构或监标人，或者由供应商代表检查所有响应文件的密封情况并当场公布检查结果。对投标截止时间前收到的所有密封符合要求的响应文件，由工作人员当众拆封唱标，宣读开标一览表以及采购人认为有必要唱出的内容。</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4.供应商对开标有异议的，应当在开标现场提出，采购人应当场作出答复。采购人同时做开标记录。</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（二）评审</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1.评审委员会</w:t>
      </w:r>
    </w:p>
    <w:p>
      <w:pPr>
        <w:spacing w:line="360" w:lineRule="auto"/>
        <w:ind w:firstLine="480" w:firstLineChars="200"/>
        <w:rPr>
          <w:rFonts w:cs="Times New Roman" w:asciiTheme="minorEastAsia" w:hAnsiTheme="minorEastAsia"/>
          <w:snapToGrid w:val="0"/>
          <w:kern w:val="0"/>
          <w:sz w:val="24"/>
          <w:szCs w:val="24"/>
        </w:rPr>
      </w:pPr>
      <w:r>
        <w:rPr>
          <w:rFonts w:hint="eastAsia" w:cs="Times New Roman" w:asciiTheme="minorEastAsia" w:hAnsiTheme="minorEastAsia"/>
          <w:snapToGrid w:val="0"/>
          <w:kern w:val="0"/>
          <w:sz w:val="24"/>
          <w:szCs w:val="24"/>
        </w:rPr>
        <w:t>采购人根据规定组建评审委员会，其成员由技术、经济等方面的专家和采购人代表组成，分为技术评审组和商务评审组，对响应文件进行评审。</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2.评标原则</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(1)评标工作严格遵守公平、公正、择优的原则；</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(2)对所有响应谈判文件实质性要求的供应商一视同仁；</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(3)综合比较货物性能、质量、价格、交货期、售后服务等因素，确定评审排序结果；</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(4)报价最低不作为中标的保证。</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3.评标方法</w:t>
      </w:r>
    </w:p>
    <w:p>
      <w:pPr>
        <w:spacing w:line="360"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综合评分法。技术和商务评审（依据表2-表3）总得分由高到低顺序排列，得分最高的供应商作为预成交人；得分相同的，按照投标报价由低到高顺序排列；得分且投标报价均相同的，则抽签排序。</w:t>
      </w:r>
    </w:p>
    <w:p>
      <w:pPr>
        <w:spacing w:line="360"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评审委员会成员技术、商务（不含价格因素）最终评分偏离评审委员会全体成员评分均值±20%的，该成员的评分将被剔除，以其他评委的评分均值计算，作为该成员的评分计入总分值；评审委员会所有成员评分均超出±20%时，直接以全体成员评分均值计算，不再剔除。</w:t>
      </w:r>
    </w:p>
    <w:p>
      <w:pPr>
        <w:spacing w:line="360" w:lineRule="auto"/>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采用综合评分法评审时，供应商报价高于全体有效供应商报价平均值40%以上的，不得推荐为预成交人。供应商的技术、商务（不含价格因素）得分低于全体有效供应商的技术、商务得分平均值30%以上的，不得推荐为预成交人。</w:t>
      </w:r>
    </w:p>
    <w:p>
      <w:pPr>
        <w:rPr>
          <w:rFonts w:ascii="黑体" w:hAnsi="黑体" w:eastAsia="黑体" w:cs="Times New Roman"/>
          <w:kern w:val="0"/>
          <w:sz w:val="32"/>
          <w:szCs w:val="32"/>
        </w:rPr>
        <w:sectPr>
          <w:headerReference r:id="rId5" w:type="default"/>
          <w:pgSz w:w="11906" w:h="16838"/>
          <w:pgMar w:top="1440" w:right="1440" w:bottom="1440" w:left="1440" w:header="851" w:footer="992" w:gutter="0"/>
          <w:cols w:space="425" w:num="1"/>
          <w:docGrid w:linePitch="579" w:charSpace="-1844"/>
        </w:sectPr>
      </w:pPr>
    </w:p>
    <w:p>
      <w:pPr>
        <w:rPr>
          <w:rFonts w:ascii="黑体" w:hAnsi="黑体" w:eastAsia="黑体" w:cs="Times New Roman"/>
          <w:kern w:val="0"/>
          <w:sz w:val="32"/>
          <w:szCs w:val="32"/>
        </w:rPr>
      </w:pPr>
      <w:r>
        <w:rPr>
          <w:rFonts w:hint="eastAsia" w:ascii="黑体" w:hAnsi="黑体" w:eastAsia="黑体" w:cs="Times New Roman"/>
          <w:kern w:val="0"/>
          <w:sz w:val="32"/>
          <w:szCs w:val="32"/>
        </w:rPr>
        <w:t>表1</w:t>
      </w:r>
    </w:p>
    <w:p>
      <w:pPr>
        <w:jc w:val="center"/>
        <w:rPr>
          <w:rFonts w:ascii="方正小标宋简体" w:hAnsi="Times New Roman" w:eastAsia="方正小标宋简体" w:cs="Times New Roman"/>
          <w:kern w:val="0"/>
          <w:sz w:val="36"/>
          <w:szCs w:val="36"/>
        </w:rPr>
      </w:pPr>
      <w:r>
        <w:rPr>
          <w:rFonts w:hint="eastAsia" w:ascii="方正小标宋简体" w:hAnsi="Times New Roman" w:eastAsia="方正小标宋简体" w:cs="Times New Roman"/>
          <w:kern w:val="0"/>
          <w:sz w:val="36"/>
          <w:szCs w:val="36"/>
        </w:rPr>
        <w:t>资格性和符合性审查表</w:t>
      </w:r>
    </w:p>
    <w:p>
      <w:pPr>
        <w:rPr>
          <w:rFonts w:ascii="Times New Roman" w:hAnsi="Times New Roman" w:eastAsia="宋体" w:cs="Times New Roman"/>
          <w:kern w:val="0"/>
          <w:sz w:val="24"/>
          <w:szCs w:val="24"/>
        </w:rPr>
      </w:pPr>
      <w:r>
        <w:rPr>
          <w:rFonts w:ascii="Times New Roman" w:hAnsi="Times New Roman" w:eastAsia="宋体" w:cs="Times New Roman"/>
          <w:kern w:val="0"/>
          <w:sz w:val="24"/>
          <w:szCs w:val="24"/>
        </w:rPr>
        <w:t>项目名称：</w:t>
      </w:r>
      <w:r>
        <w:rPr>
          <w:rFonts w:hint="eastAsia"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项目编号</w:t>
      </w:r>
      <w:r>
        <w:rPr>
          <w:rFonts w:hint="eastAsia" w:ascii="Times New Roman" w:hAnsi="Times New Roman" w:eastAsia="宋体" w:cs="Times New Roman"/>
          <w:kern w:val="0"/>
          <w:sz w:val="24"/>
          <w:szCs w:val="24"/>
        </w:rPr>
        <w:t>：</w:t>
      </w:r>
    </w:p>
    <w:tbl>
      <w:tblPr>
        <w:tblStyle w:val="19"/>
        <w:tblW w:w="5000" w:type="pct"/>
        <w:jc w:val="center"/>
        <w:tblLayout w:type="fixed"/>
        <w:tblCellMar>
          <w:top w:w="0" w:type="dxa"/>
          <w:left w:w="108" w:type="dxa"/>
          <w:bottom w:w="0" w:type="dxa"/>
          <w:right w:w="108" w:type="dxa"/>
        </w:tblCellMar>
      </w:tblPr>
      <w:tblGrid>
        <w:gridCol w:w="5972"/>
        <w:gridCol w:w="1090"/>
        <w:gridCol w:w="1090"/>
        <w:gridCol w:w="1090"/>
      </w:tblGrid>
      <w:tr>
        <w:tblPrEx>
          <w:tblCellMar>
            <w:top w:w="0" w:type="dxa"/>
            <w:left w:w="108" w:type="dxa"/>
            <w:bottom w:w="0" w:type="dxa"/>
            <w:right w:w="108" w:type="dxa"/>
          </w:tblCellMar>
        </w:tblPrEx>
        <w:trPr>
          <w:trHeight w:val="454" w:hRule="exact"/>
          <w:jc w:val="center"/>
        </w:trPr>
        <w:tc>
          <w:tcPr>
            <w:tcW w:w="597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黑体" w:hAnsi="黑体" w:eastAsia="黑体" w:cs="宋体"/>
                <w:kern w:val="0"/>
                <w:szCs w:val="21"/>
              </w:rPr>
            </w:pPr>
            <w:r>
              <w:rPr>
                <w:rFonts w:hint="eastAsia" w:ascii="黑体" w:hAnsi="黑体" w:eastAsia="黑体" w:cs="宋体"/>
                <w:kern w:val="0"/>
                <w:szCs w:val="21"/>
              </w:rPr>
              <w:t>审查项目</w:t>
            </w:r>
          </w:p>
        </w:tc>
        <w:tc>
          <w:tcPr>
            <w:tcW w:w="2180" w:type="dxa"/>
            <w:gridSpan w:val="2"/>
            <w:tcBorders>
              <w:top w:val="single" w:color="auto" w:sz="4" w:space="0"/>
              <w:left w:val="nil"/>
              <w:bottom w:val="single" w:color="auto" w:sz="4" w:space="0"/>
              <w:right w:val="single" w:color="auto" w:sz="4" w:space="0"/>
            </w:tcBorders>
            <w:noWrap/>
            <w:vAlign w:val="center"/>
          </w:tcPr>
          <w:p>
            <w:pPr>
              <w:widowControl/>
              <w:spacing w:line="240" w:lineRule="exact"/>
              <w:jc w:val="center"/>
              <w:rPr>
                <w:rFonts w:ascii="黑体" w:hAnsi="黑体" w:eastAsia="黑体" w:cs="宋体"/>
                <w:kern w:val="0"/>
                <w:szCs w:val="21"/>
              </w:rPr>
            </w:pPr>
            <w:r>
              <w:rPr>
                <w:rFonts w:hint="eastAsia" w:ascii="黑体" w:hAnsi="黑体" w:eastAsia="黑体" w:cs="宋体"/>
                <w:kern w:val="0"/>
                <w:szCs w:val="21"/>
              </w:rPr>
              <w:t>是否合格</w:t>
            </w:r>
          </w:p>
        </w:tc>
        <w:tc>
          <w:tcPr>
            <w:tcW w:w="1090" w:type="dxa"/>
            <w:vMerge w:val="restart"/>
            <w:tcBorders>
              <w:top w:val="single" w:color="auto" w:sz="4" w:space="0"/>
              <w:left w:val="nil"/>
              <w:right w:val="single" w:color="auto" w:sz="4" w:space="0"/>
            </w:tcBorders>
            <w:noWrap/>
            <w:vAlign w:val="center"/>
          </w:tcPr>
          <w:p>
            <w:pPr>
              <w:spacing w:line="240" w:lineRule="exact"/>
              <w:jc w:val="center"/>
              <w:rPr>
                <w:rFonts w:ascii="黑体" w:hAnsi="黑体" w:eastAsia="黑体" w:cs="宋体"/>
                <w:kern w:val="0"/>
                <w:szCs w:val="21"/>
              </w:rPr>
            </w:pPr>
            <w:r>
              <w:rPr>
                <w:rFonts w:hint="eastAsia" w:ascii="黑体" w:hAnsi="黑体" w:eastAsia="黑体" w:cs="宋体"/>
                <w:kern w:val="0"/>
                <w:szCs w:val="21"/>
              </w:rPr>
              <w:t>说明</w:t>
            </w:r>
          </w:p>
        </w:tc>
      </w:tr>
      <w:tr>
        <w:tblPrEx>
          <w:tblCellMar>
            <w:top w:w="0" w:type="dxa"/>
            <w:left w:w="108" w:type="dxa"/>
            <w:bottom w:w="0" w:type="dxa"/>
            <w:right w:w="108" w:type="dxa"/>
          </w:tblCellMar>
        </w:tblPrEx>
        <w:trPr>
          <w:trHeight w:val="454" w:hRule="exact"/>
          <w:jc w:val="center"/>
        </w:trPr>
        <w:tc>
          <w:tcPr>
            <w:tcW w:w="597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黑体" w:hAnsi="宋体" w:eastAsia="黑体" w:cs="宋体"/>
                <w:kern w:val="0"/>
                <w:szCs w:val="21"/>
              </w:rPr>
            </w:pPr>
          </w:p>
        </w:tc>
        <w:tc>
          <w:tcPr>
            <w:tcW w:w="1090" w:type="dxa"/>
            <w:tcBorders>
              <w:top w:val="nil"/>
              <w:left w:val="nil"/>
              <w:bottom w:val="single" w:color="auto" w:sz="4" w:space="0"/>
              <w:right w:val="single" w:color="auto" w:sz="4" w:space="0"/>
            </w:tcBorders>
            <w:vAlign w:val="center"/>
          </w:tcPr>
          <w:p>
            <w:pPr>
              <w:widowControl/>
              <w:spacing w:line="240" w:lineRule="exact"/>
              <w:jc w:val="center"/>
              <w:rPr>
                <w:rFonts w:ascii="黑体" w:hAnsi="黑体" w:eastAsia="黑体" w:cs="宋体"/>
                <w:kern w:val="0"/>
                <w:szCs w:val="21"/>
              </w:rPr>
            </w:pPr>
            <w:r>
              <w:rPr>
                <w:rFonts w:hint="eastAsia" w:ascii="黑体" w:hAnsi="黑体" w:eastAsia="黑体" w:cs="宋体"/>
                <w:kern w:val="0"/>
                <w:szCs w:val="21"/>
              </w:rPr>
              <w:t>供应商1</w:t>
            </w:r>
          </w:p>
        </w:tc>
        <w:tc>
          <w:tcPr>
            <w:tcW w:w="1090" w:type="dxa"/>
            <w:tcBorders>
              <w:top w:val="nil"/>
              <w:left w:val="nil"/>
              <w:bottom w:val="single" w:color="auto" w:sz="4" w:space="0"/>
              <w:right w:val="single" w:color="auto" w:sz="4" w:space="0"/>
            </w:tcBorders>
            <w:vAlign w:val="center"/>
          </w:tcPr>
          <w:p>
            <w:pPr>
              <w:widowControl/>
              <w:spacing w:line="240" w:lineRule="exact"/>
              <w:jc w:val="center"/>
              <w:rPr>
                <w:rFonts w:ascii="黑体" w:hAnsi="黑体" w:eastAsia="黑体" w:cs="宋体"/>
                <w:kern w:val="0"/>
                <w:szCs w:val="21"/>
              </w:rPr>
            </w:pPr>
            <w:r>
              <w:rPr>
                <w:rFonts w:hint="eastAsia" w:ascii="黑体" w:hAnsi="黑体" w:eastAsia="黑体" w:cs="宋体"/>
                <w:kern w:val="0"/>
                <w:szCs w:val="21"/>
              </w:rPr>
              <w:t>……</w:t>
            </w:r>
          </w:p>
        </w:tc>
        <w:tc>
          <w:tcPr>
            <w:tcW w:w="1090" w:type="dxa"/>
            <w:vMerge w:val="continue"/>
            <w:tcBorders>
              <w:left w:val="nil"/>
              <w:bottom w:val="single" w:color="auto" w:sz="4" w:space="0"/>
              <w:right w:val="single" w:color="auto" w:sz="4" w:space="0"/>
            </w:tcBorders>
            <w:noWrap/>
            <w:vAlign w:val="center"/>
          </w:tcPr>
          <w:p>
            <w:pPr>
              <w:widowControl/>
              <w:spacing w:line="240" w:lineRule="exact"/>
              <w:jc w:val="center"/>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widowControl/>
              <w:spacing w:line="240" w:lineRule="exact"/>
              <w:rPr>
                <w:rFonts w:cs="宋体" w:asciiTheme="minorEastAsia" w:hAnsiTheme="minorEastAsia"/>
                <w:bCs/>
                <w:kern w:val="0"/>
                <w:szCs w:val="21"/>
              </w:rPr>
            </w:pPr>
            <w:r>
              <w:rPr>
                <w:rFonts w:hint="eastAsia" w:cs="Times New Roman" w:asciiTheme="minorEastAsia" w:hAnsiTheme="minorEastAsia"/>
                <w:kern w:val="0"/>
                <w:sz w:val="24"/>
                <w:szCs w:val="24"/>
              </w:rPr>
              <w:t>一、资格性审查内容</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680"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1.</w:t>
            </w:r>
            <w:r>
              <w:rPr>
                <w:rFonts w:hint="eastAsia" w:asciiTheme="minorEastAsia" w:hAnsiTheme="minorEastAsia"/>
              </w:rPr>
              <w:t xml:space="preserve"> </w:t>
            </w:r>
            <w:r>
              <w:rPr>
                <w:rFonts w:hint="eastAsia" w:cs="Times New Roman" w:asciiTheme="minorEastAsia" w:hAnsiTheme="minorEastAsia"/>
                <w:kern w:val="0"/>
                <w:sz w:val="24"/>
                <w:szCs w:val="24"/>
              </w:rPr>
              <w:t>具有独立承担民事责任的能力；（提供法人或者其他组织的营业执照等证明文件，自然人的身份证明）</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1164"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2.</w:t>
            </w:r>
            <w:r>
              <w:rPr>
                <w:rFonts w:hint="eastAsia" w:asciiTheme="minorEastAsia" w:hAnsiTheme="minorEastAsia"/>
              </w:rPr>
              <w:t xml:space="preserve"> </w:t>
            </w:r>
            <w:r>
              <w:rPr>
                <w:rFonts w:hint="eastAsia" w:cs="Times New Roman" w:asciiTheme="minorEastAsia" w:hAnsiTheme="minorEastAsia"/>
                <w:kern w:val="0"/>
                <w:sz w:val="24"/>
                <w:szCs w:val="24"/>
              </w:rPr>
              <w:t>.具有良好的商业信誉和健全的财务会计制度；（提供参加本次政府采购活动前的会计报表至少包含资产负债表、利润表、资金流量表所有者权益变动表及附注）</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698"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3.</w:t>
            </w:r>
            <w:r>
              <w:rPr>
                <w:rFonts w:hint="eastAsia" w:asciiTheme="minorEastAsia" w:hAnsiTheme="minorEastAsia"/>
              </w:rPr>
              <w:t xml:space="preserve"> </w:t>
            </w:r>
            <w:r>
              <w:rPr>
                <w:rFonts w:hint="eastAsia" w:cs="Times New Roman" w:asciiTheme="minorEastAsia" w:hAnsiTheme="minorEastAsia"/>
                <w:kern w:val="0"/>
                <w:sz w:val="24"/>
                <w:szCs w:val="24"/>
              </w:rPr>
              <w:t>具有履行合同所必需的设备和专业技术能力；（提供承诺书）</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997"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4.</w:t>
            </w:r>
            <w:r>
              <w:rPr>
                <w:rFonts w:hint="eastAsia" w:asciiTheme="minorEastAsia" w:hAnsiTheme="minorEastAsia"/>
              </w:rPr>
              <w:t xml:space="preserve"> </w:t>
            </w:r>
            <w:r>
              <w:rPr>
                <w:rFonts w:hint="eastAsia" w:cs="Times New Roman" w:asciiTheme="minorEastAsia" w:hAnsiTheme="minorEastAsia"/>
                <w:kern w:val="0"/>
                <w:sz w:val="24"/>
                <w:szCs w:val="24"/>
              </w:rPr>
              <w:t>有依法缴纳税收和社会保障资金的良好记录；（提供参加本次政府采购活动前三个月内（至少一个月）依法缴纳税收和社会保障资金的相关材料）</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983"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5.</w:t>
            </w:r>
            <w:r>
              <w:rPr>
                <w:rFonts w:hint="eastAsia" w:asciiTheme="minorEastAsia" w:hAnsiTheme="minorEastAsia"/>
              </w:rPr>
              <w:t xml:space="preserve"> </w:t>
            </w:r>
            <w:r>
              <w:rPr>
                <w:rFonts w:hint="eastAsia" w:cs="Times New Roman" w:asciiTheme="minorEastAsia" w:hAnsiTheme="minorEastAsia"/>
                <w:kern w:val="0"/>
                <w:sz w:val="24"/>
                <w:szCs w:val="24"/>
              </w:rPr>
              <w:t>参加政府采购活动前3年内，在经营活动中没有重大违法记录；（提供参加政府采购活动前3年内在经营活动中没有重大违法记录的书面声明）</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571"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6.符合法律、行政法规规定的其他条件（提供承诺书）</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2103"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7.</w:t>
            </w:r>
            <w:r>
              <w:rPr>
                <w:rFonts w:hint="eastAsia" w:asciiTheme="minorEastAsia" w:hAnsiTheme="minorEastAsia"/>
              </w:rPr>
              <w:t xml:space="preserve"> </w:t>
            </w:r>
            <w:r>
              <w:rPr>
                <w:rFonts w:hint="eastAsia" w:cs="Times New Roman" w:asciiTheme="minorEastAsia" w:hAnsiTheme="minorEastAsia"/>
                <w:kern w:val="0"/>
                <w:sz w:val="24"/>
                <w:szCs w:val="24"/>
              </w:rPr>
              <w:t>单位负责人为同一人或者存在直接控股、管理关系的不同供应商，不得同时参加同一包的采购活动。生产型企业生产场地为同一地址的，销售型企业之间股东有关联的，一律视为有直接控股、管理关系。供应商之间有上述关系的，应主动声明，否则将给予列入不良记录名单、3年内不得参加我单位采购活动的处罚。</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二、符合性审查内容</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1.投标书、资格证明文件密封完好</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2.响应文件签署、盖章齐全完整</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3.响应文件组成齐全完整</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4.响应文件有效期满足谈判文件要求</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5.谈判保证金满足谈判文件要求</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rPr>
                <w:rFonts w:cs="Times New Roman" w:asciiTheme="minorEastAsia" w:hAnsiTheme="minorEastAsia"/>
                <w:kern w:val="0"/>
                <w:sz w:val="24"/>
                <w:szCs w:val="24"/>
              </w:rPr>
            </w:pPr>
            <w:r>
              <w:rPr>
                <w:rFonts w:hint="eastAsia" w:cs="Times New Roman" w:asciiTheme="minorEastAsia" w:hAnsiTheme="minorEastAsia"/>
                <w:kern w:val="0"/>
                <w:sz w:val="24"/>
                <w:szCs w:val="24"/>
              </w:rPr>
              <w:t>6.其他内容</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454" w:hRule="exact"/>
          <w:jc w:val="center"/>
        </w:trPr>
        <w:tc>
          <w:tcPr>
            <w:tcW w:w="5972" w:type="dxa"/>
            <w:tcBorders>
              <w:top w:val="nil"/>
              <w:left w:val="single" w:color="auto" w:sz="4" w:space="0"/>
              <w:bottom w:val="single" w:color="auto" w:sz="4" w:space="0"/>
              <w:right w:val="single" w:color="auto" w:sz="4" w:space="0"/>
            </w:tcBorders>
            <w:vAlign w:val="center"/>
          </w:tcPr>
          <w:p>
            <w:pPr>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综合评定</w:t>
            </w:r>
          </w:p>
        </w:tc>
        <w:tc>
          <w:tcPr>
            <w:tcW w:w="1090"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eastAsia="宋体" w:cs="Times New Roman"/>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c>
          <w:tcPr>
            <w:tcW w:w="1090" w:type="dxa"/>
            <w:tcBorders>
              <w:top w:val="nil"/>
              <w:left w:val="nil"/>
              <w:bottom w:val="single" w:color="auto" w:sz="4" w:space="0"/>
              <w:right w:val="single" w:color="auto" w:sz="4" w:space="0"/>
            </w:tcBorders>
            <w:noWrap/>
            <w:vAlign w:val="center"/>
          </w:tcPr>
          <w:p>
            <w:pPr>
              <w:widowControl/>
              <w:spacing w:line="240" w:lineRule="exact"/>
              <w:jc w:val="left"/>
              <w:rPr>
                <w:rFonts w:ascii="宋体" w:hAnsi="宋体" w:eastAsia="宋体" w:cs="宋体"/>
                <w:kern w:val="0"/>
                <w:szCs w:val="21"/>
              </w:rPr>
            </w:pPr>
          </w:p>
        </w:tc>
      </w:tr>
      <w:tr>
        <w:tblPrEx>
          <w:tblCellMar>
            <w:top w:w="0" w:type="dxa"/>
            <w:left w:w="108" w:type="dxa"/>
            <w:bottom w:w="0" w:type="dxa"/>
            <w:right w:w="108" w:type="dxa"/>
          </w:tblCellMar>
        </w:tblPrEx>
        <w:trPr>
          <w:trHeight w:val="1134" w:hRule="exact"/>
          <w:jc w:val="center"/>
        </w:trPr>
        <w:tc>
          <w:tcPr>
            <w:tcW w:w="9242" w:type="dxa"/>
            <w:gridSpan w:val="4"/>
            <w:tcBorders>
              <w:top w:val="single" w:color="auto" w:sz="4" w:space="0"/>
              <w:left w:val="single" w:color="auto" w:sz="4" w:space="0"/>
              <w:bottom w:val="single" w:color="auto" w:sz="4" w:space="0"/>
              <w:right w:val="single" w:color="000000" w:sz="4" w:space="0"/>
            </w:tcBorders>
            <w:noWrap/>
            <w:vAlign w:val="center"/>
          </w:tcPr>
          <w:p>
            <w:pPr>
              <w:widowControl/>
              <w:spacing w:line="240" w:lineRule="exact"/>
              <w:jc w:val="left"/>
              <w:rPr>
                <w:rFonts w:ascii="宋体" w:hAnsi="宋体" w:eastAsia="宋体" w:cs="宋体"/>
                <w:kern w:val="0"/>
                <w:szCs w:val="21"/>
              </w:rPr>
            </w:pPr>
            <w:r>
              <w:rPr>
                <w:rFonts w:hint="eastAsia" w:ascii="宋体" w:hAnsi="宋体" w:eastAsia="宋体" w:cs="宋体"/>
                <w:kern w:val="0"/>
                <w:szCs w:val="21"/>
              </w:rPr>
              <w:t>说明：1.合格打“√”, 不合格打“×”。</w:t>
            </w:r>
          </w:p>
          <w:p>
            <w:pPr>
              <w:widowControl/>
              <w:spacing w:line="240" w:lineRule="exact"/>
              <w:ind w:firstLine="630" w:firstLineChars="300"/>
              <w:jc w:val="left"/>
              <w:rPr>
                <w:rFonts w:ascii="宋体" w:hAnsi="宋体" w:eastAsia="宋体" w:cs="宋体"/>
                <w:kern w:val="0"/>
                <w:szCs w:val="21"/>
              </w:rPr>
            </w:pPr>
            <w:r>
              <w:rPr>
                <w:rFonts w:hint="eastAsia" w:ascii="宋体" w:hAnsi="宋体" w:eastAsia="宋体" w:cs="宋体"/>
                <w:kern w:val="0"/>
                <w:szCs w:val="21"/>
              </w:rPr>
              <w:t>2.有一项内容不合格，综合评定为不合格。</w:t>
            </w:r>
          </w:p>
          <w:p>
            <w:pPr>
              <w:widowControl/>
              <w:spacing w:line="240" w:lineRule="exact"/>
              <w:ind w:firstLine="630" w:firstLineChars="300"/>
              <w:jc w:val="left"/>
              <w:rPr>
                <w:rFonts w:ascii="宋体" w:hAnsi="宋体" w:eastAsia="宋体" w:cs="宋体"/>
                <w:kern w:val="0"/>
                <w:szCs w:val="21"/>
              </w:rPr>
            </w:pPr>
            <w:r>
              <w:rPr>
                <w:rFonts w:hint="eastAsia" w:ascii="宋体" w:hAnsi="宋体" w:eastAsia="宋体" w:cs="宋体"/>
                <w:kern w:val="0"/>
                <w:szCs w:val="21"/>
              </w:rPr>
              <w:t>3.采购机构应当结合采购项目实际情况，适当增减调整审查内容。</w:t>
            </w:r>
          </w:p>
        </w:tc>
      </w:tr>
    </w:tbl>
    <w:p>
      <w:pPr>
        <w:rPr>
          <w:rFonts w:ascii="Times New Roman" w:hAnsi="Times New Roman" w:eastAsia="宋体" w:cs="Times New Roman"/>
          <w:kern w:val="0"/>
          <w:sz w:val="24"/>
          <w:szCs w:val="24"/>
        </w:rPr>
      </w:pPr>
    </w:p>
    <w:p>
      <w:pP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评审委员会</w:t>
      </w:r>
      <w:r>
        <w:rPr>
          <w:rFonts w:ascii="Times New Roman" w:hAnsi="Times New Roman" w:eastAsia="宋体" w:cs="Times New Roman"/>
          <w:kern w:val="0"/>
          <w:sz w:val="24"/>
          <w:szCs w:val="24"/>
        </w:rPr>
        <w:t>成员签名：</w:t>
      </w:r>
      <w:r>
        <w:rPr>
          <w:rFonts w:hint="eastAsia"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年</w:t>
      </w:r>
      <w:r>
        <w:rPr>
          <w:rFonts w:hint="eastAsia"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月</w:t>
      </w:r>
      <w:r>
        <w:rPr>
          <w:rFonts w:hint="eastAsia" w:ascii="Times New Roman" w:hAnsi="Times New Roman" w:eastAsia="宋体" w:cs="Times New Roman"/>
          <w:kern w:val="0"/>
          <w:sz w:val="24"/>
          <w:szCs w:val="24"/>
        </w:rPr>
        <w:t xml:space="preserve">  </w:t>
      </w:r>
      <w:r>
        <w:rPr>
          <w:rFonts w:ascii="Times New Roman" w:hAnsi="Times New Roman" w:eastAsia="宋体" w:cs="Times New Roman"/>
          <w:kern w:val="0"/>
          <w:sz w:val="24"/>
          <w:szCs w:val="24"/>
        </w:rPr>
        <w:t>日</w:t>
      </w:r>
    </w:p>
    <w:p>
      <w:pPr>
        <w:jc w:val="center"/>
        <w:rPr>
          <w:rFonts w:ascii="方正小标宋简体" w:hAnsi="Times New Roman" w:eastAsia="方正小标宋简体" w:cs="Times New Roman"/>
          <w:kern w:val="0"/>
          <w:sz w:val="36"/>
          <w:szCs w:val="36"/>
        </w:rPr>
        <w:sectPr>
          <w:pgSz w:w="11906" w:h="16838"/>
          <w:pgMar w:top="1440" w:right="1440" w:bottom="1440" w:left="1440" w:header="851" w:footer="992" w:gutter="0"/>
          <w:cols w:space="425" w:num="1"/>
          <w:docGrid w:linePitch="579" w:charSpace="-1844"/>
        </w:sectPr>
      </w:pPr>
    </w:p>
    <w:p>
      <w:pPr>
        <w:rPr>
          <w:rFonts w:ascii="黑体" w:hAnsi="黑体" w:eastAsia="黑体" w:cs="Times New Roman"/>
          <w:kern w:val="0"/>
          <w:sz w:val="32"/>
          <w:szCs w:val="32"/>
        </w:rPr>
      </w:pPr>
      <w:r>
        <w:rPr>
          <w:rFonts w:hint="eastAsia" w:ascii="黑体" w:hAnsi="黑体" w:eastAsia="黑体" w:cs="Times New Roman"/>
          <w:kern w:val="0"/>
          <w:sz w:val="32"/>
          <w:szCs w:val="32"/>
        </w:rPr>
        <w:t>表</w:t>
      </w:r>
      <w:r>
        <w:rPr>
          <w:rFonts w:ascii="黑体" w:hAnsi="黑体" w:eastAsia="黑体" w:cs="Times New Roman"/>
          <w:kern w:val="0"/>
          <w:sz w:val="32"/>
          <w:szCs w:val="32"/>
        </w:rPr>
        <w:t>2</w:t>
      </w:r>
    </w:p>
    <w:p>
      <w:pPr>
        <w:autoSpaceDE w:val="0"/>
        <w:autoSpaceDN w:val="0"/>
        <w:adjustRightInd w:val="0"/>
        <w:spacing w:before="9" w:line="276" w:lineRule="auto"/>
        <w:ind w:firstLine="141" w:firstLineChars="50"/>
        <w:jc w:val="center"/>
        <w:rPr>
          <w:rFonts w:ascii="宋体" w:hAnsi="宋体"/>
          <w:b/>
          <w:kern w:val="0"/>
          <w:sz w:val="28"/>
          <w:szCs w:val="28"/>
        </w:rPr>
      </w:pPr>
      <w:r>
        <w:rPr>
          <w:rFonts w:hint="eastAsia" w:ascii="宋体" w:hAnsi="宋体" w:cs="微软雅黑"/>
          <w:b/>
          <w:kern w:val="0"/>
          <w:sz w:val="28"/>
          <w:szCs w:val="28"/>
        </w:rPr>
        <w:t>评标分值构成与评分标准表</w:t>
      </w:r>
    </w:p>
    <w:tbl>
      <w:tblPr>
        <w:tblStyle w:val="19"/>
        <w:tblW w:w="9671" w:type="dxa"/>
        <w:tblInd w:w="115" w:type="dxa"/>
        <w:tblLayout w:type="fixed"/>
        <w:tblCellMar>
          <w:top w:w="0" w:type="dxa"/>
          <w:left w:w="0" w:type="dxa"/>
          <w:bottom w:w="0" w:type="dxa"/>
          <w:right w:w="0" w:type="dxa"/>
        </w:tblCellMar>
      </w:tblPr>
      <w:tblGrid>
        <w:gridCol w:w="1308"/>
        <w:gridCol w:w="1559"/>
        <w:gridCol w:w="6804"/>
      </w:tblGrid>
      <w:tr>
        <w:trPr>
          <w:trHeight w:val="353" w:hRule="exact"/>
        </w:trPr>
        <w:tc>
          <w:tcPr>
            <w:tcW w:w="1308" w:type="dxa"/>
            <w:tcBorders>
              <w:top w:val="single" w:color="000000" w:sz="4" w:space="0"/>
              <w:left w:val="single" w:color="000000" w:sz="4" w:space="0"/>
              <w:bottom w:val="single" w:color="auto" w:sz="4" w:space="0"/>
              <w:right w:val="single" w:color="000000" w:sz="4" w:space="0"/>
            </w:tcBorders>
          </w:tcPr>
          <w:p>
            <w:pPr>
              <w:autoSpaceDE w:val="0"/>
              <w:autoSpaceDN w:val="0"/>
              <w:adjustRightInd w:val="0"/>
              <w:spacing w:line="360" w:lineRule="auto"/>
              <w:ind w:left="652" w:right="634"/>
              <w:jc w:val="center"/>
              <w:rPr>
                <w:rFonts w:ascii="宋体" w:hAnsi="宋体"/>
                <w:kern w:val="0"/>
                <w:szCs w:val="21"/>
              </w:rPr>
            </w:pPr>
          </w:p>
        </w:tc>
        <w:tc>
          <w:tcPr>
            <w:tcW w:w="1559" w:type="dxa"/>
            <w:tcBorders>
              <w:top w:val="single" w:color="000000" w:sz="4" w:space="0"/>
              <w:left w:val="single" w:color="000000" w:sz="4" w:space="0"/>
              <w:bottom w:val="single" w:color="auto" w:sz="4" w:space="0"/>
              <w:right w:val="single" w:color="000000" w:sz="4" w:space="0"/>
            </w:tcBorders>
          </w:tcPr>
          <w:p>
            <w:pPr>
              <w:autoSpaceDE w:val="0"/>
              <w:autoSpaceDN w:val="0"/>
              <w:adjustRightInd w:val="0"/>
              <w:spacing w:line="360" w:lineRule="auto"/>
              <w:ind w:left="283" w:right="-20"/>
              <w:jc w:val="left"/>
              <w:rPr>
                <w:rFonts w:ascii="宋体" w:hAnsi="宋体"/>
                <w:kern w:val="0"/>
                <w:szCs w:val="21"/>
              </w:rPr>
            </w:pPr>
            <w:r>
              <w:rPr>
                <w:rFonts w:hint="eastAsia" w:ascii="宋体" w:hAnsi="宋体" w:cs="微软雅黑"/>
                <w:kern w:val="0"/>
                <w:szCs w:val="21"/>
              </w:rPr>
              <w:t>评分因素</w:t>
            </w:r>
          </w:p>
        </w:tc>
        <w:tc>
          <w:tcPr>
            <w:tcW w:w="6804" w:type="dxa"/>
            <w:tcBorders>
              <w:top w:val="single" w:color="000000" w:sz="4" w:space="0"/>
              <w:left w:val="single" w:color="000000" w:sz="4" w:space="0"/>
              <w:bottom w:val="single" w:color="000000" w:sz="4" w:space="0"/>
              <w:right w:val="single" w:color="000000" w:sz="4" w:space="0"/>
            </w:tcBorders>
          </w:tcPr>
          <w:p>
            <w:pPr>
              <w:autoSpaceDE w:val="0"/>
              <w:autoSpaceDN w:val="0"/>
              <w:adjustRightInd w:val="0"/>
              <w:spacing w:line="360" w:lineRule="auto"/>
              <w:ind w:left="1876" w:right="1857"/>
              <w:jc w:val="center"/>
              <w:rPr>
                <w:rFonts w:ascii="宋体" w:hAnsi="宋体"/>
                <w:kern w:val="0"/>
                <w:szCs w:val="21"/>
              </w:rPr>
            </w:pPr>
            <w:r>
              <w:rPr>
                <w:rFonts w:hint="eastAsia" w:ascii="宋体" w:hAnsi="宋体" w:cs="微软雅黑"/>
                <w:kern w:val="0"/>
                <w:szCs w:val="21"/>
              </w:rPr>
              <w:t>评分标准</w:t>
            </w:r>
          </w:p>
        </w:tc>
      </w:tr>
      <w:tr>
        <w:tblPrEx>
          <w:tblCellMar>
            <w:top w:w="0" w:type="dxa"/>
            <w:left w:w="0" w:type="dxa"/>
            <w:bottom w:w="0" w:type="dxa"/>
            <w:right w:w="0" w:type="dxa"/>
          </w:tblCellMar>
        </w:tblPrEx>
        <w:trPr>
          <w:trHeight w:val="786" w:hRule="exact"/>
        </w:trPr>
        <w:tc>
          <w:tcPr>
            <w:tcW w:w="1308" w:type="dxa"/>
            <w:vMerge w:val="restart"/>
            <w:tcBorders>
              <w:top w:val="single" w:color="auto" w:sz="4" w:space="0"/>
              <w:left w:val="single" w:color="auto" w:sz="4" w:space="0"/>
              <w:right w:val="single" w:color="auto" w:sz="4" w:space="0"/>
            </w:tcBorders>
            <w:vAlign w:val="center"/>
          </w:tcPr>
          <w:p>
            <w:pPr>
              <w:autoSpaceDE w:val="0"/>
              <w:autoSpaceDN w:val="0"/>
              <w:adjustRightInd w:val="0"/>
              <w:spacing w:line="360" w:lineRule="auto"/>
              <w:ind w:left="2082" w:right="2063"/>
              <w:jc w:val="center"/>
              <w:rPr>
                <w:rFonts w:ascii="宋体" w:hAnsi="宋体"/>
                <w:kern w:val="0"/>
                <w:szCs w:val="21"/>
              </w:rPr>
            </w:pPr>
          </w:p>
          <w:p>
            <w:pPr>
              <w:autoSpaceDE w:val="0"/>
              <w:autoSpaceDN w:val="0"/>
              <w:adjustRightInd w:val="0"/>
              <w:spacing w:line="360" w:lineRule="auto"/>
              <w:ind w:left="345" w:right="60" w:hanging="209"/>
              <w:rPr>
                <w:szCs w:val="21"/>
              </w:rPr>
            </w:pPr>
            <w:r>
              <w:rPr>
                <w:rFonts w:hint="eastAsia"/>
                <w:szCs w:val="21"/>
              </w:rPr>
              <w:t>技术评分标准</w:t>
            </w:r>
            <w:r>
              <w:rPr>
                <w:szCs w:val="21"/>
              </w:rPr>
              <w:t>70</w:t>
            </w:r>
            <w:r>
              <w:rPr>
                <w:rFonts w:hint="eastAsia"/>
                <w:szCs w:val="21"/>
              </w:rPr>
              <w:t>分</w:t>
            </w:r>
          </w:p>
          <w:p>
            <w:pPr>
              <w:pStyle w:val="10"/>
              <w:spacing w:line="360" w:lineRule="auto"/>
              <w:jc w:val="center"/>
              <w:rPr>
                <w:rFonts w:hAnsi="宋体"/>
              </w:rPr>
            </w:pPr>
          </w:p>
        </w:tc>
        <w:tc>
          <w:tcPr>
            <w:tcW w:w="155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ind w:right="-20"/>
              <w:jc w:val="center"/>
              <w:rPr>
                <w:rFonts w:ascii="宋体" w:hAnsi="宋体" w:cs="微软雅黑"/>
                <w:kern w:val="0"/>
                <w:szCs w:val="21"/>
              </w:rPr>
            </w:pPr>
            <w:r>
              <w:rPr>
                <w:rFonts w:hint="eastAsia" w:ascii="宋体" w:hAnsi="宋体" w:cs="微软雅黑"/>
                <w:kern w:val="0"/>
                <w:szCs w:val="21"/>
              </w:rPr>
              <w:t>类似项目业绩</w:t>
            </w:r>
          </w:p>
          <w:p>
            <w:pPr>
              <w:autoSpaceDE w:val="0"/>
              <w:autoSpaceDN w:val="0"/>
              <w:adjustRightInd w:val="0"/>
              <w:spacing w:line="360" w:lineRule="auto"/>
              <w:ind w:right="-20"/>
              <w:jc w:val="center"/>
              <w:rPr>
                <w:rFonts w:ascii="宋体" w:hAnsi="宋体"/>
                <w:kern w:val="0"/>
                <w:szCs w:val="21"/>
              </w:rPr>
            </w:pPr>
            <w:r>
              <w:rPr>
                <w:rFonts w:hint="eastAsia" w:ascii="宋体" w:hAnsi="宋体" w:cs="微软雅黑"/>
                <w:kern w:val="0"/>
                <w:szCs w:val="21"/>
              </w:rPr>
              <w:t>(2分)</w:t>
            </w:r>
          </w:p>
        </w:tc>
        <w:tc>
          <w:tcPr>
            <w:tcW w:w="6804" w:type="dxa"/>
            <w:tcBorders>
              <w:top w:val="single" w:color="000000" w:sz="4" w:space="0"/>
              <w:left w:val="single" w:color="auto" w:sz="4" w:space="0"/>
              <w:bottom w:val="single" w:color="000000" w:sz="4" w:space="0"/>
              <w:right w:val="single" w:color="000000" w:sz="4" w:space="0"/>
            </w:tcBorders>
          </w:tcPr>
          <w:p>
            <w:pPr>
              <w:adjustRightInd w:val="0"/>
              <w:snapToGrid w:val="0"/>
              <w:spacing w:line="360" w:lineRule="auto"/>
              <w:ind w:right="-10" w:firstLine="367" w:firstLineChars="175"/>
              <w:jc w:val="left"/>
              <w:rPr>
                <w:rFonts w:ascii="宋体" w:hAnsi="宋体"/>
                <w:szCs w:val="21"/>
              </w:rPr>
            </w:pPr>
            <w:r>
              <w:rPr>
                <w:rFonts w:hint="eastAsia" w:ascii="宋体" w:hAnsi="宋体"/>
                <w:szCs w:val="21"/>
              </w:rPr>
              <w:t>投标人在2018年1月1日以来（机械通风、环流熏蒸低温空调)</w:t>
            </w:r>
            <w:r>
              <w:rPr>
                <w:rFonts w:hint="eastAsia"/>
              </w:rPr>
              <w:t xml:space="preserve"> </w:t>
            </w:r>
            <w:r>
              <w:rPr>
                <w:rFonts w:hint="eastAsia" w:ascii="宋体" w:hAnsi="宋体"/>
                <w:szCs w:val="21"/>
              </w:rPr>
              <w:t>业绩合同,</w:t>
            </w:r>
            <w:r>
              <w:rPr>
                <w:rFonts w:hint="eastAsia" w:ascii="宋体" w:hAnsi="宋体" w:cs="宋体"/>
                <w:color w:val="000000"/>
                <w:kern w:val="0"/>
                <w:szCs w:val="21"/>
              </w:rPr>
              <w:t xml:space="preserve"> 计2分。</w:t>
            </w:r>
            <w:r>
              <w:rPr>
                <w:rFonts w:hint="eastAsia" w:ascii="宋体" w:hAnsi="宋体"/>
                <w:szCs w:val="21"/>
              </w:rPr>
              <w:t>有一个得1分, 没有不得分。</w:t>
            </w:r>
          </w:p>
        </w:tc>
      </w:tr>
      <w:tr>
        <w:tblPrEx>
          <w:tblCellMar>
            <w:top w:w="0" w:type="dxa"/>
            <w:left w:w="0" w:type="dxa"/>
            <w:bottom w:w="0" w:type="dxa"/>
            <w:right w:w="0" w:type="dxa"/>
          </w:tblCellMar>
        </w:tblPrEx>
        <w:trPr>
          <w:trHeight w:val="695" w:hRule="atLeast"/>
        </w:trPr>
        <w:tc>
          <w:tcPr>
            <w:tcW w:w="1308" w:type="dxa"/>
            <w:vMerge w:val="continue"/>
            <w:tcBorders>
              <w:left w:val="single" w:color="auto" w:sz="4" w:space="0"/>
              <w:right w:val="single" w:color="auto" w:sz="4" w:space="0"/>
            </w:tcBorders>
            <w:vAlign w:val="center"/>
          </w:tcPr>
          <w:p>
            <w:pPr>
              <w:widowControl/>
              <w:jc w:val="left"/>
              <w:rPr>
                <w:rFonts w:ascii="宋体" w:hAnsi="宋体"/>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pStyle w:val="10"/>
              <w:spacing w:line="360" w:lineRule="auto"/>
              <w:jc w:val="center"/>
              <w:rPr>
                <w:rFonts w:hAnsi="宋体"/>
                <w:spacing w:val="-2"/>
                <w:kern w:val="0"/>
              </w:rPr>
            </w:pPr>
            <w:r>
              <w:rPr>
                <w:rFonts w:hint="eastAsia" w:hAnsi="宋体"/>
                <w:spacing w:val="-2"/>
                <w:kern w:val="0"/>
              </w:rPr>
              <w:t xml:space="preserve">  </w:t>
            </w:r>
            <w:r>
              <w:rPr>
                <w:rFonts w:hint="eastAsia" w:hAnsi="宋体"/>
              </w:rPr>
              <w:t>专利、情况</w:t>
            </w:r>
          </w:p>
          <w:p>
            <w:pPr>
              <w:pStyle w:val="10"/>
              <w:spacing w:line="360" w:lineRule="auto"/>
              <w:jc w:val="center"/>
              <w:rPr>
                <w:rFonts w:hAnsi="宋体"/>
                <w:kern w:val="0"/>
              </w:rPr>
            </w:pPr>
            <w:r>
              <w:rPr>
                <w:rFonts w:hint="eastAsia" w:hAnsi="宋体"/>
                <w:kern w:val="0"/>
              </w:rPr>
              <w:t>(20分)</w:t>
            </w:r>
          </w:p>
        </w:tc>
        <w:tc>
          <w:tcPr>
            <w:tcW w:w="6804"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ind w:right="-10" w:firstLine="367" w:firstLineChars="175"/>
              <w:jc w:val="left"/>
              <w:rPr>
                <w:rFonts w:ascii="宋体" w:hAnsi="宋体"/>
                <w:szCs w:val="21"/>
              </w:rPr>
            </w:pPr>
            <w:r>
              <w:rPr>
                <w:rFonts w:hint="eastAsia" w:ascii="宋体" w:hAnsi="宋体"/>
                <w:szCs w:val="21"/>
              </w:rPr>
              <w:t>★对须提供相关证书（含设计图片和简要说明 、国家知识官网查询截图（彩页、专利证书等），否则不予认同,</w:t>
            </w:r>
            <w:r>
              <w:rPr>
                <w:rFonts w:hint="eastAsia" w:ascii="宋体" w:hAnsi="宋体" w:cs="宋体"/>
                <w:color w:val="000000"/>
                <w:kern w:val="0"/>
                <w:szCs w:val="21"/>
              </w:rPr>
              <w:t>计20分。</w:t>
            </w:r>
            <w:r>
              <w:rPr>
                <w:rFonts w:hint="eastAsia" w:ascii="宋体" w:hAnsi="宋体"/>
                <w:szCs w:val="21"/>
              </w:rPr>
              <w:t>有一个得5分, 没有不得分。</w:t>
            </w:r>
          </w:p>
        </w:tc>
      </w:tr>
      <w:tr>
        <w:tblPrEx>
          <w:tblCellMar>
            <w:top w:w="0" w:type="dxa"/>
            <w:left w:w="0" w:type="dxa"/>
            <w:bottom w:w="0" w:type="dxa"/>
            <w:right w:w="0" w:type="dxa"/>
          </w:tblCellMar>
        </w:tblPrEx>
        <w:trPr>
          <w:trHeight w:val="1256" w:hRule="atLeast"/>
        </w:trPr>
        <w:tc>
          <w:tcPr>
            <w:tcW w:w="1308" w:type="dxa"/>
            <w:vMerge w:val="continue"/>
            <w:tcBorders>
              <w:left w:val="single" w:color="auto" w:sz="4" w:space="0"/>
              <w:right w:val="single" w:color="auto" w:sz="4" w:space="0"/>
            </w:tcBorders>
            <w:vAlign w:val="center"/>
          </w:tcPr>
          <w:p>
            <w:pPr>
              <w:widowControl/>
              <w:jc w:val="left"/>
              <w:rPr>
                <w:rFonts w:ascii="宋体" w:hAnsi="宋体"/>
                <w:szCs w:val="21"/>
              </w:rPr>
            </w:pPr>
          </w:p>
        </w:tc>
        <w:tc>
          <w:tcPr>
            <w:tcW w:w="1559" w:type="dxa"/>
            <w:tcBorders>
              <w:top w:val="single" w:color="auto" w:sz="4" w:space="0"/>
              <w:left w:val="single" w:color="auto" w:sz="4" w:space="0"/>
              <w:bottom w:val="single" w:color="auto" w:sz="4" w:space="0"/>
              <w:right w:val="single" w:color="auto" w:sz="4" w:space="0"/>
            </w:tcBorders>
            <w:vAlign w:val="center"/>
          </w:tcPr>
          <w:p>
            <w:pPr>
              <w:pStyle w:val="10"/>
              <w:spacing w:line="360" w:lineRule="auto"/>
              <w:jc w:val="center"/>
              <w:rPr>
                <w:rFonts w:hAnsi="宋体" w:cs="Times New Roman"/>
                <w:spacing w:val="-2"/>
                <w:kern w:val="0"/>
              </w:rPr>
            </w:pPr>
            <w:r>
              <w:rPr>
                <w:rFonts w:hint="eastAsia" w:hAnsi="宋体"/>
              </w:rPr>
              <w:t>产品技术</w:t>
            </w:r>
            <w:r>
              <w:rPr>
                <w:rFonts w:hint="eastAsia" w:hAnsi="宋体"/>
                <w:spacing w:val="-2"/>
                <w:kern w:val="0"/>
              </w:rPr>
              <w:t>、质量</w:t>
            </w:r>
          </w:p>
          <w:p>
            <w:pPr>
              <w:pStyle w:val="10"/>
              <w:spacing w:line="360" w:lineRule="auto"/>
              <w:jc w:val="center"/>
              <w:rPr>
                <w:rFonts w:hAnsi="宋体"/>
                <w:spacing w:val="-2"/>
                <w:kern w:val="0"/>
              </w:rPr>
            </w:pPr>
            <w:r>
              <w:rPr>
                <w:rFonts w:hint="eastAsia" w:hAnsi="宋体"/>
                <w:spacing w:val="-2"/>
                <w:kern w:val="0"/>
              </w:rPr>
              <w:t>性能、配置</w:t>
            </w:r>
          </w:p>
          <w:p>
            <w:pPr>
              <w:pStyle w:val="10"/>
              <w:spacing w:line="360" w:lineRule="auto"/>
              <w:jc w:val="center"/>
              <w:rPr>
                <w:rFonts w:hAnsi="宋体"/>
                <w:spacing w:val="-2"/>
                <w:kern w:val="0"/>
              </w:rPr>
            </w:pPr>
            <w:r>
              <w:rPr>
                <w:rFonts w:hint="eastAsia" w:hAnsi="宋体"/>
                <w:spacing w:val="-2"/>
                <w:kern w:val="0"/>
              </w:rPr>
              <w:t>(8分)</w:t>
            </w:r>
          </w:p>
        </w:tc>
        <w:tc>
          <w:tcPr>
            <w:tcW w:w="6804" w:type="dxa"/>
            <w:tcBorders>
              <w:top w:val="single" w:color="auto" w:sz="4" w:space="0"/>
              <w:left w:val="single" w:color="auto" w:sz="4" w:space="0"/>
              <w:bottom w:val="single" w:color="auto" w:sz="4" w:space="0"/>
              <w:right w:val="single" w:color="auto" w:sz="4" w:space="0"/>
            </w:tcBorders>
          </w:tcPr>
          <w:p>
            <w:pPr>
              <w:adjustRightInd w:val="0"/>
              <w:snapToGrid w:val="0"/>
              <w:spacing w:line="360" w:lineRule="auto"/>
              <w:ind w:right="-10" w:firstLine="367" w:firstLineChars="175"/>
              <w:jc w:val="left"/>
              <w:rPr>
                <w:rFonts w:ascii="宋体" w:hAnsi="宋体"/>
                <w:szCs w:val="21"/>
              </w:rPr>
            </w:pPr>
            <w:r>
              <w:rPr>
                <w:rFonts w:hint="eastAsia" w:ascii="宋体" w:hAnsi="宋体"/>
                <w:szCs w:val="21"/>
              </w:rPr>
              <w:t>1.产品的功能和技术设计合理性。功能设计合理得4分,</w:t>
            </w:r>
            <w:r>
              <w:rPr>
                <w:rFonts w:hint="eastAsia" w:ascii="宋体" w:hAnsi="宋体" w:cs="宋体"/>
                <w:color w:val="000000"/>
                <w:kern w:val="0"/>
                <w:szCs w:val="21"/>
              </w:rPr>
              <w:t xml:space="preserve"> 欠合理的得2分,</w:t>
            </w:r>
            <w:r>
              <w:rPr>
                <w:rFonts w:hint="eastAsia"/>
              </w:rPr>
              <w:t xml:space="preserve"> </w:t>
            </w:r>
            <w:r>
              <w:rPr>
                <w:rFonts w:hint="eastAsia" w:ascii="宋体" w:hAnsi="宋体" w:cs="宋体"/>
                <w:color w:val="000000"/>
                <w:kern w:val="0"/>
                <w:szCs w:val="21"/>
              </w:rPr>
              <w:t>不合理不得分。</w:t>
            </w:r>
          </w:p>
          <w:p>
            <w:pPr>
              <w:adjustRightInd w:val="0"/>
              <w:snapToGrid w:val="0"/>
              <w:spacing w:line="360" w:lineRule="auto"/>
              <w:ind w:right="-10" w:firstLine="367" w:firstLineChars="175"/>
              <w:jc w:val="left"/>
              <w:rPr>
                <w:rFonts w:ascii="宋体" w:hAnsi="宋体"/>
                <w:szCs w:val="21"/>
              </w:rPr>
            </w:pPr>
            <w:r>
              <w:rPr>
                <w:rFonts w:hint="eastAsia" w:ascii="宋体" w:hAnsi="宋体"/>
                <w:szCs w:val="21"/>
              </w:rPr>
              <w:t>2.产品的技术、质量指标以及参数响应正偏离的数量。无偏离得4分,</w:t>
            </w:r>
          </w:p>
          <w:p>
            <w:pPr>
              <w:adjustRightInd w:val="0"/>
              <w:snapToGrid w:val="0"/>
              <w:spacing w:line="360" w:lineRule="auto"/>
              <w:ind w:right="-10" w:firstLine="367" w:firstLineChars="175"/>
              <w:jc w:val="left"/>
              <w:rPr>
                <w:rFonts w:ascii="宋体" w:hAnsi="宋体"/>
                <w:szCs w:val="21"/>
              </w:rPr>
            </w:pPr>
            <w:r>
              <w:rPr>
                <w:rFonts w:hint="eastAsia" w:ascii="宋体" w:hAnsi="宋体"/>
                <w:szCs w:val="21"/>
              </w:rPr>
              <w:t>负偏离有一个扣1分,</w:t>
            </w:r>
            <w:r>
              <w:rPr>
                <w:rFonts w:hint="eastAsia"/>
              </w:rPr>
              <w:t xml:space="preserve"> </w:t>
            </w:r>
            <w:r>
              <w:rPr>
                <w:rFonts w:hint="eastAsia" w:ascii="宋体" w:hAnsi="宋体" w:cs="宋体"/>
                <w:color w:val="000000"/>
                <w:kern w:val="0"/>
                <w:szCs w:val="21"/>
              </w:rPr>
              <w:t>扣完为止。</w:t>
            </w:r>
          </w:p>
        </w:tc>
      </w:tr>
      <w:tr>
        <w:tblPrEx>
          <w:tblCellMar>
            <w:top w:w="0" w:type="dxa"/>
            <w:left w:w="0" w:type="dxa"/>
            <w:bottom w:w="0" w:type="dxa"/>
            <w:right w:w="0" w:type="dxa"/>
          </w:tblCellMar>
        </w:tblPrEx>
        <w:trPr>
          <w:trHeight w:val="1691" w:hRule="atLeast"/>
        </w:trPr>
        <w:tc>
          <w:tcPr>
            <w:tcW w:w="1308" w:type="dxa"/>
            <w:vMerge w:val="continue"/>
            <w:tcBorders>
              <w:left w:val="single" w:color="auto" w:sz="4" w:space="0"/>
              <w:right w:val="single" w:color="auto" w:sz="4" w:space="0"/>
            </w:tcBorders>
            <w:vAlign w:val="center"/>
          </w:tcPr>
          <w:p>
            <w:pPr>
              <w:widowControl/>
              <w:jc w:val="left"/>
              <w:rPr>
                <w:rFonts w:ascii="宋体" w:hAnsi="宋体"/>
                <w:szCs w:val="21"/>
              </w:rPr>
            </w:pPr>
          </w:p>
        </w:tc>
        <w:tc>
          <w:tcPr>
            <w:tcW w:w="1559" w:type="dxa"/>
            <w:tcBorders>
              <w:top w:val="single" w:color="auto" w:sz="4" w:space="0"/>
              <w:left w:val="single" w:color="000000" w:sz="4" w:space="0"/>
              <w:bottom w:val="single" w:color="auto" w:sz="4" w:space="0"/>
              <w:right w:val="single" w:color="auto" w:sz="4" w:space="0"/>
            </w:tcBorders>
            <w:vAlign w:val="center"/>
          </w:tcPr>
          <w:p>
            <w:pPr>
              <w:autoSpaceDE w:val="0"/>
              <w:autoSpaceDN w:val="0"/>
              <w:adjustRightInd w:val="0"/>
              <w:spacing w:before="83" w:line="480" w:lineRule="auto"/>
              <w:ind w:right="334"/>
              <w:jc w:val="center"/>
              <w:rPr>
                <w:rFonts w:ascii="宋体" w:hAnsi="宋体" w:cs="宋体"/>
                <w:kern w:val="0"/>
                <w:szCs w:val="21"/>
              </w:rPr>
            </w:pPr>
            <w:r>
              <w:rPr>
                <w:rFonts w:hint="eastAsia" w:ascii="宋体" w:hAnsi="宋体" w:cs="宋体"/>
                <w:color w:val="000000"/>
                <w:kern w:val="0"/>
                <w:szCs w:val="21"/>
              </w:rPr>
              <w:t>施工组织方案</w:t>
            </w:r>
            <w:r>
              <w:rPr>
                <w:rFonts w:hint="eastAsia" w:ascii="宋体" w:hAnsi="宋体" w:cs="宋体"/>
                <w:szCs w:val="21"/>
              </w:rPr>
              <w:t>（20分）</w:t>
            </w:r>
          </w:p>
        </w:tc>
        <w:tc>
          <w:tcPr>
            <w:tcW w:w="6804" w:type="dxa"/>
            <w:tcBorders>
              <w:top w:val="single" w:color="auto" w:sz="4" w:space="0"/>
              <w:left w:val="single" w:color="auto" w:sz="4" w:space="0"/>
              <w:bottom w:val="single" w:color="000000" w:sz="4" w:space="0"/>
              <w:right w:val="single" w:color="000000" w:sz="4" w:space="0"/>
            </w:tcBorders>
          </w:tcPr>
          <w:p>
            <w:pPr>
              <w:adjustRightInd w:val="0"/>
              <w:snapToGrid w:val="0"/>
              <w:spacing w:line="360" w:lineRule="auto"/>
              <w:ind w:left="840" w:right="-10" w:hanging="840" w:hangingChars="400"/>
              <w:jc w:val="left"/>
              <w:rPr>
                <w:rFonts w:ascii="宋体" w:hAnsi="宋体" w:cs="宋体"/>
                <w:color w:val="000000"/>
                <w:kern w:val="0"/>
                <w:szCs w:val="21"/>
              </w:rPr>
            </w:pPr>
            <w:r>
              <w:rPr>
                <w:rFonts w:hint="eastAsia" w:ascii="宋体" w:hAnsi="宋体" w:cs="宋体"/>
                <w:color w:val="000000"/>
                <w:kern w:val="0"/>
                <w:szCs w:val="21"/>
              </w:rPr>
              <w:t xml:space="preserve">   投标人应提供针对本项目的生产、运输、安装三方面编制施工组织方</w:t>
            </w:r>
          </w:p>
          <w:p>
            <w:pPr>
              <w:adjustRightInd w:val="0"/>
              <w:snapToGrid w:val="0"/>
              <w:spacing w:line="360" w:lineRule="auto"/>
              <w:ind w:left="840" w:right="-10" w:hanging="840" w:hangingChars="400"/>
              <w:jc w:val="left"/>
              <w:rPr>
                <w:rFonts w:ascii="宋体" w:hAnsi="宋体" w:cs="宋体"/>
                <w:color w:val="000000"/>
                <w:kern w:val="0"/>
                <w:szCs w:val="21"/>
              </w:rPr>
            </w:pPr>
            <w:r>
              <w:rPr>
                <w:rFonts w:hint="eastAsia" w:ascii="宋体" w:hAnsi="宋体" w:cs="宋体"/>
                <w:color w:val="000000"/>
                <w:kern w:val="0"/>
                <w:szCs w:val="21"/>
              </w:rPr>
              <w:t>案：方案设计及人员配备、安排合理 ；建设进度计划及保证措施合理；</w:t>
            </w:r>
          </w:p>
          <w:p>
            <w:pPr>
              <w:adjustRightInd w:val="0"/>
              <w:snapToGrid w:val="0"/>
              <w:spacing w:line="360" w:lineRule="auto"/>
              <w:ind w:left="840" w:right="-10" w:hanging="840" w:hangingChars="400"/>
              <w:jc w:val="left"/>
              <w:rPr>
                <w:rFonts w:ascii="宋体" w:hAnsi="宋体" w:cs="宋体"/>
                <w:color w:val="000000"/>
                <w:kern w:val="0"/>
                <w:szCs w:val="21"/>
              </w:rPr>
            </w:pPr>
            <w:r>
              <w:rPr>
                <w:rFonts w:hint="eastAsia" w:ascii="宋体" w:hAnsi="宋体" w:cs="宋体"/>
                <w:color w:val="000000"/>
                <w:kern w:val="0"/>
                <w:szCs w:val="21"/>
              </w:rPr>
              <w:t>安装调试程序合理、措施得当；质量保证。</w:t>
            </w:r>
            <w:r>
              <w:rPr>
                <w:rFonts w:hint="eastAsia" w:ascii="宋体" w:hAnsi="宋体"/>
                <w:szCs w:val="21"/>
              </w:rPr>
              <w:t>注：</w:t>
            </w:r>
            <w:r>
              <w:rPr>
                <w:rFonts w:hint="eastAsia" w:ascii="宋体" w:hAnsi="宋体" w:cs="宋体"/>
                <w:color w:val="000000"/>
                <w:kern w:val="0"/>
                <w:szCs w:val="21"/>
              </w:rPr>
              <w:t>措施合理的，</w:t>
            </w:r>
            <w:bookmarkStart w:id="15" w:name="OLE_LINK3"/>
            <w:bookmarkStart w:id="16" w:name="OLE_LINK4"/>
            <w:r>
              <w:rPr>
                <w:rFonts w:hint="eastAsia" w:ascii="宋体" w:hAnsi="宋体" w:cs="宋体"/>
                <w:color w:val="000000"/>
                <w:kern w:val="0"/>
                <w:szCs w:val="21"/>
              </w:rPr>
              <w:t>满分20分。</w:t>
            </w:r>
            <w:bookmarkEnd w:id="15"/>
            <w:bookmarkEnd w:id="16"/>
          </w:p>
          <w:p>
            <w:pPr>
              <w:adjustRightInd w:val="0"/>
              <w:snapToGrid w:val="0"/>
              <w:spacing w:line="360" w:lineRule="auto"/>
              <w:ind w:left="840" w:right="-10" w:hanging="840" w:hangingChars="400"/>
              <w:jc w:val="left"/>
              <w:rPr>
                <w:rFonts w:ascii="宋体" w:hAnsi="宋体"/>
                <w:szCs w:val="21"/>
              </w:rPr>
            </w:pPr>
            <w:r>
              <w:rPr>
                <w:rFonts w:hint="eastAsia" w:ascii="宋体" w:hAnsi="宋体" w:cs="宋体"/>
                <w:color w:val="000000"/>
                <w:kern w:val="0"/>
                <w:szCs w:val="21"/>
              </w:rPr>
              <w:t>有缺项，</w:t>
            </w:r>
            <w:bookmarkStart w:id="17" w:name="OLE_LINK1"/>
            <w:bookmarkStart w:id="18" w:name="OLE_LINK2"/>
            <w:r>
              <w:rPr>
                <w:rFonts w:hint="eastAsia" w:ascii="宋体" w:hAnsi="宋体" w:cs="宋体"/>
                <w:color w:val="000000"/>
                <w:kern w:val="0"/>
                <w:szCs w:val="21"/>
              </w:rPr>
              <w:t>欠合理的</w:t>
            </w:r>
            <w:bookmarkEnd w:id="17"/>
            <w:bookmarkEnd w:id="18"/>
            <w:r>
              <w:rPr>
                <w:rFonts w:hint="eastAsia" w:ascii="宋体" w:hAnsi="宋体" w:cs="宋体"/>
                <w:color w:val="000000"/>
                <w:kern w:val="0"/>
                <w:szCs w:val="21"/>
              </w:rPr>
              <w:t>，酌情扣分，扣完为止。</w:t>
            </w:r>
            <w:r>
              <w:rPr>
                <w:rFonts w:hint="eastAsia" w:ascii="宋体" w:hAnsi="宋体" w:cs="宋体"/>
                <w:szCs w:val="21"/>
              </w:rPr>
              <w:t>缺项不得分。</w:t>
            </w:r>
          </w:p>
        </w:tc>
      </w:tr>
      <w:tr>
        <w:tblPrEx>
          <w:tblCellMar>
            <w:top w:w="0" w:type="dxa"/>
            <w:left w:w="0" w:type="dxa"/>
            <w:bottom w:w="0" w:type="dxa"/>
            <w:right w:w="0" w:type="dxa"/>
          </w:tblCellMar>
        </w:tblPrEx>
        <w:trPr>
          <w:trHeight w:val="1691" w:hRule="atLeast"/>
        </w:trPr>
        <w:tc>
          <w:tcPr>
            <w:tcW w:w="1308" w:type="dxa"/>
            <w:vMerge w:val="continue"/>
            <w:tcBorders>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1559" w:type="dxa"/>
            <w:tcBorders>
              <w:top w:val="single" w:color="auto" w:sz="4" w:space="0"/>
              <w:left w:val="single" w:color="000000" w:sz="4" w:space="0"/>
              <w:bottom w:val="single" w:color="auto" w:sz="4" w:space="0"/>
              <w:right w:val="single" w:color="auto" w:sz="4" w:space="0"/>
            </w:tcBorders>
            <w:vAlign w:val="center"/>
          </w:tcPr>
          <w:p>
            <w:pPr>
              <w:spacing w:line="480" w:lineRule="auto"/>
              <w:ind w:firstLine="420"/>
              <w:rPr>
                <w:rFonts w:ascii="宋体" w:hAnsi="宋体" w:cs="宋体"/>
                <w:szCs w:val="21"/>
              </w:rPr>
            </w:pPr>
            <w:r>
              <w:rPr>
                <w:rFonts w:hint="eastAsia" w:ascii="宋体" w:hAnsi="宋体" w:cs="宋体"/>
                <w:color w:val="000000"/>
                <w:kern w:val="0"/>
                <w:szCs w:val="21"/>
              </w:rPr>
              <w:t>完善的售后服务体系， 科学合理的维保方案</w:t>
            </w:r>
            <w:r>
              <w:rPr>
                <w:rFonts w:hint="eastAsia" w:ascii="宋体" w:hAnsi="宋体" w:cs="宋体"/>
                <w:szCs w:val="21"/>
              </w:rPr>
              <w:t>（20分）</w:t>
            </w:r>
          </w:p>
        </w:tc>
        <w:tc>
          <w:tcPr>
            <w:tcW w:w="6804" w:type="dxa"/>
            <w:tcBorders>
              <w:top w:val="single" w:color="auto" w:sz="4" w:space="0"/>
              <w:left w:val="single" w:color="auto" w:sz="4" w:space="0"/>
              <w:bottom w:val="single" w:color="auto" w:sz="4" w:space="0"/>
              <w:right w:val="single" w:color="000000" w:sz="4" w:space="0"/>
            </w:tcBorders>
          </w:tcPr>
          <w:p>
            <w:pPr>
              <w:adjustRightInd w:val="0"/>
              <w:snapToGrid w:val="0"/>
              <w:spacing w:line="360" w:lineRule="auto"/>
              <w:ind w:right="-10" w:firstLine="315" w:firstLineChars="150"/>
              <w:jc w:val="left"/>
              <w:rPr>
                <w:rFonts w:ascii="宋体" w:hAnsi="宋体"/>
                <w:szCs w:val="21"/>
              </w:rPr>
            </w:pPr>
            <w:r>
              <w:rPr>
                <w:rFonts w:hint="eastAsia" w:ascii="宋体" w:hAnsi="宋体" w:cs="宋体"/>
                <w:color w:val="000000"/>
                <w:kern w:val="0"/>
                <w:szCs w:val="21"/>
              </w:rPr>
              <w:t>投标人应提供针对本项目</w:t>
            </w:r>
            <w:r>
              <w:rPr>
                <w:rFonts w:hint="eastAsia" w:ascii="宋体" w:hAnsi="宋体" w:cs="宋体"/>
                <w:szCs w:val="21"/>
              </w:rPr>
              <w:t>售后服务方案（包括：故障响应机制、问题解决机制、保修承诺、培训和技术人员保障等）依据响应速度，并保证响应时间，承诺时间内到达现场解决问题、保修内容全面、详尽、合理到位的</w:t>
            </w:r>
            <w:bookmarkStart w:id="19" w:name="OLE_LINK6"/>
            <w:bookmarkStart w:id="20" w:name="OLE_LINK5"/>
            <w:r>
              <w:rPr>
                <w:rFonts w:hint="eastAsia" w:ascii="宋体" w:hAnsi="宋体" w:cs="宋体"/>
                <w:szCs w:val="21"/>
              </w:rPr>
              <w:t>得满分20分</w:t>
            </w:r>
            <w:bookmarkEnd w:id="19"/>
            <w:bookmarkEnd w:id="20"/>
            <w:r>
              <w:rPr>
                <w:rFonts w:hint="eastAsia" w:ascii="宋体" w:hAnsi="宋体" w:cs="宋体"/>
                <w:szCs w:val="21"/>
              </w:rPr>
              <w:t>，不全面、不详尽或者有一定瑕疵的酌情扣分，缺项不得分。</w:t>
            </w:r>
          </w:p>
        </w:tc>
      </w:tr>
      <w:tr>
        <w:tblPrEx>
          <w:tblCellMar>
            <w:top w:w="0" w:type="dxa"/>
            <w:left w:w="0" w:type="dxa"/>
            <w:bottom w:w="0" w:type="dxa"/>
            <w:right w:w="0" w:type="dxa"/>
          </w:tblCellMar>
        </w:tblPrEx>
        <w:trPr>
          <w:trHeight w:val="2930" w:hRule="atLeast"/>
        </w:trPr>
        <w:tc>
          <w:tcPr>
            <w:tcW w:w="130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before="3" w:line="442" w:lineRule="exact"/>
              <w:ind w:left="136" w:right="60"/>
              <w:jc w:val="center"/>
              <w:rPr>
                <w:rFonts w:ascii="宋体" w:hAnsi="宋体"/>
                <w:kern w:val="0"/>
                <w:szCs w:val="21"/>
              </w:rPr>
            </w:pPr>
            <w:r>
              <w:rPr>
                <w:rFonts w:hint="eastAsia" w:ascii="宋体" w:hAnsi="宋体" w:cs="微软雅黑"/>
                <w:kern w:val="0"/>
                <w:szCs w:val="21"/>
              </w:rPr>
              <w:t>投标</w:t>
            </w:r>
            <w:r>
              <w:rPr>
                <w:rFonts w:hint="eastAsia" w:ascii="宋体" w:hAnsi="宋体" w:cs="微软雅黑"/>
                <w:spacing w:val="-2"/>
                <w:kern w:val="0"/>
                <w:szCs w:val="21"/>
              </w:rPr>
              <w:t>报</w:t>
            </w:r>
            <w:r>
              <w:rPr>
                <w:rFonts w:hint="eastAsia" w:ascii="宋体" w:hAnsi="宋体" w:cs="微软雅黑"/>
                <w:kern w:val="0"/>
                <w:szCs w:val="21"/>
              </w:rPr>
              <w:t>价 评分</w:t>
            </w:r>
            <w:r>
              <w:rPr>
                <w:rFonts w:hint="eastAsia" w:ascii="宋体" w:hAnsi="宋体" w:cs="微软雅黑"/>
                <w:spacing w:val="-2"/>
                <w:kern w:val="0"/>
                <w:szCs w:val="21"/>
              </w:rPr>
              <w:t>标</w:t>
            </w:r>
            <w:r>
              <w:rPr>
                <w:rFonts w:hint="eastAsia" w:ascii="宋体" w:hAnsi="宋体" w:cs="微软雅黑"/>
                <w:kern w:val="0"/>
                <w:szCs w:val="21"/>
              </w:rPr>
              <w:t>准30分</w:t>
            </w:r>
          </w:p>
        </w:tc>
        <w:tc>
          <w:tcPr>
            <w:tcW w:w="1559" w:type="dxa"/>
            <w:tcBorders>
              <w:top w:val="single" w:color="auto" w:sz="4" w:space="0"/>
              <w:left w:val="single" w:color="auto" w:sz="4" w:space="0"/>
              <w:bottom w:val="single" w:color="auto" w:sz="4" w:space="0"/>
              <w:right w:val="single" w:color="auto" w:sz="4" w:space="0"/>
            </w:tcBorders>
            <w:vAlign w:val="center"/>
          </w:tcPr>
          <w:p>
            <w:pPr>
              <w:pStyle w:val="10"/>
              <w:spacing w:line="480" w:lineRule="auto"/>
              <w:jc w:val="center"/>
              <w:rPr>
                <w:rFonts w:hAnsi="宋体" w:cs="Times New Roman"/>
                <w:kern w:val="0"/>
              </w:rPr>
            </w:pPr>
            <w:r>
              <w:rPr>
                <w:rFonts w:hint="eastAsia" w:hAnsi="宋体"/>
                <w:kern w:val="0"/>
              </w:rPr>
              <w:t>投标报价得分</w:t>
            </w:r>
          </w:p>
          <w:p>
            <w:pPr>
              <w:pStyle w:val="10"/>
              <w:spacing w:line="480" w:lineRule="auto"/>
              <w:jc w:val="center"/>
              <w:rPr>
                <w:rFonts w:hAnsi="宋体"/>
                <w:kern w:val="0"/>
              </w:rPr>
            </w:pPr>
            <w:r>
              <w:rPr>
                <w:rFonts w:hint="eastAsia" w:hAnsi="宋体"/>
                <w:kern w:val="0"/>
              </w:rPr>
              <w:t>（0-30分）</w:t>
            </w:r>
          </w:p>
        </w:tc>
        <w:tc>
          <w:tcPr>
            <w:tcW w:w="6804" w:type="dxa"/>
            <w:tcBorders>
              <w:top w:val="single" w:color="auto" w:sz="4" w:space="0"/>
              <w:left w:val="single" w:color="auto" w:sz="4" w:space="0"/>
              <w:bottom w:val="single" w:color="auto" w:sz="4" w:space="0"/>
              <w:right w:val="single" w:color="auto" w:sz="4" w:space="0"/>
            </w:tcBorders>
          </w:tcPr>
          <w:p>
            <w:pPr>
              <w:pStyle w:val="54"/>
              <w:spacing w:line="360" w:lineRule="auto"/>
              <w:rPr>
                <w:rFonts w:ascii="宋体" w:hAnsi="宋体"/>
                <w:sz w:val="21"/>
                <w:szCs w:val="21"/>
              </w:rPr>
            </w:pPr>
            <w:r>
              <w:rPr>
                <w:rFonts w:hint="eastAsia" w:ascii="宋体" w:hAnsi="宋体"/>
                <w:szCs w:val="21"/>
              </w:rPr>
              <w:t>（</w:t>
            </w:r>
            <w:r>
              <w:rPr>
                <w:rFonts w:hint="eastAsia" w:ascii="宋体" w:hAnsi="宋体"/>
                <w:sz w:val="21"/>
                <w:szCs w:val="21"/>
              </w:rPr>
              <w:t>1）当有效投标人数量＞5家时：评标基准价=去掉一个有效投标人最高投标报价、去掉一个有效投标人最低投标报价后的算术平均值。</w:t>
            </w:r>
          </w:p>
          <w:p>
            <w:pPr>
              <w:pStyle w:val="54"/>
              <w:spacing w:line="360" w:lineRule="auto"/>
              <w:rPr>
                <w:rFonts w:ascii="宋体" w:hAnsi="宋体"/>
                <w:sz w:val="21"/>
                <w:szCs w:val="21"/>
              </w:rPr>
            </w:pPr>
            <w:r>
              <w:rPr>
                <w:rFonts w:hint="eastAsia" w:ascii="宋体" w:hAnsi="宋体"/>
                <w:sz w:val="21"/>
                <w:szCs w:val="21"/>
              </w:rPr>
              <w:t>（2）当有效投标人数量≤5家时：评标基准价=所有有效投标人投标报价的算术平均值。其他供应商的价格分统一按下列公示计算：</w:t>
            </w:r>
          </w:p>
          <w:p>
            <w:pPr>
              <w:pStyle w:val="54"/>
              <w:spacing w:line="360" w:lineRule="auto"/>
              <w:rPr>
                <w:rFonts w:ascii="宋体" w:hAnsi="宋体"/>
                <w:sz w:val="21"/>
                <w:szCs w:val="21"/>
              </w:rPr>
            </w:pPr>
            <w:r>
              <w:rPr>
                <w:rFonts w:hint="eastAsia" w:ascii="宋体" w:hAnsi="宋体"/>
                <w:sz w:val="21"/>
                <w:szCs w:val="21"/>
              </w:rPr>
              <w:t>投标报价得分=30-︱1-投标报价/评标基准价︳</w:t>
            </w:r>
          </w:p>
          <w:p>
            <w:pPr>
              <w:adjustRightInd w:val="0"/>
              <w:snapToGrid w:val="0"/>
              <w:spacing w:line="360" w:lineRule="auto"/>
              <w:ind w:right="-10" w:firstLine="367" w:firstLineChars="175"/>
              <w:jc w:val="left"/>
              <w:rPr>
                <w:rFonts w:ascii="宋体" w:hAnsi="宋体"/>
                <w:szCs w:val="21"/>
              </w:rPr>
            </w:pPr>
          </w:p>
        </w:tc>
      </w:tr>
    </w:tbl>
    <w:p>
      <w:pPr>
        <w:autoSpaceDE w:val="0"/>
        <w:autoSpaceDN w:val="0"/>
        <w:adjustRightInd w:val="0"/>
        <w:spacing w:before="9" w:line="276" w:lineRule="auto"/>
        <w:ind w:firstLine="141" w:firstLineChars="50"/>
        <w:jc w:val="center"/>
        <w:rPr>
          <w:rFonts w:ascii="宋体" w:hAnsi="宋体"/>
          <w:b/>
          <w:kern w:val="0"/>
          <w:sz w:val="28"/>
          <w:szCs w:val="28"/>
        </w:rPr>
      </w:pPr>
    </w:p>
    <w:p>
      <w:pPr>
        <w:spacing w:line="560" w:lineRule="exact"/>
        <w:jc w:val="left"/>
        <w:rPr>
          <w:rFonts w:ascii="宋体" w:hAnsi="宋体" w:eastAsia="宋体" w:cs="Times New Roman"/>
          <w:szCs w:val="21"/>
        </w:rPr>
      </w:pPr>
      <w:r>
        <w:rPr>
          <w:rFonts w:hint="eastAsia" w:ascii="宋体" w:hAnsi="宋体" w:eastAsia="宋体" w:cs="Times New Roman"/>
          <w:szCs w:val="21"/>
        </w:rPr>
        <w:t>评审委员会成员签名：    年   月   日</w:t>
      </w:r>
    </w:p>
    <w:p>
      <w:pPr>
        <w:spacing w:line="560" w:lineRule="exact"/>
        <w:rPr>
          <w:rFonts w:ascii="宋体" w:hAnsi="宋体"/>
          <w:sz w:val="28"/>
          <w:szCs w:val="28"/>
        </w:rPr>
      </w:pPr>
    </w:p>
    <w:p>
      <w:pPr>
        <w:spacing w:line="360" w:lineRule="auto"/>
        <w:rPr>
          <w:rFonts w:cs="Times New Roman" w:asciiTheme="minorEastAsia" w:hAnsiTheme="minorEastAsia"/>
          <w:kern w:val="0"/>
          <w:sz w:val="24"/>
          <w:szCs w:val="24"/>
        </w:rPr>
        <w:sectPr>
          <w:pgSz w:w="11906" w:h="16838"/>
          <w:pgMar w:top="1440" w:right="1440" w:bottom="1440" w:left="1440" w:header="851" w:footer="992" w:gutter="0"/>
          <w:cols w:space="425" w:num="1"/>
          <w:docGrid w:linePitch="579" w:charSpace="-1844"/>
        </w:sectPr>
      </w:pPr>
    </w:p>
    <w:p>
      <w:pPr>
        <w:spacing w:line="360" w:lineRule="auto"/>
        <w:rPr>
          <w:rFonts w:cs="Times New Roman" w:asciiTheme="minorEastAsia" w:hAnsiTheme="minorEastAsia"/>
          <w:kern w:val="0"/>
          <w:sz w:val="24"/>
          <w:szCs w:val="24"/>
        </w:rPr>
      </w:pPr>
      <w:r>
        <w:rPr>
          <w:rFonts w:hint="eastAsia" w:cs="Times New Roman" w:asciiTheme="minorEastAsia" w:hAnsiTheme="minorEastAsia"/>
          <w:kern w:val="0"/>
          <w:sz w:val="24"/>
          <w:szCs w:val="24"/>
        </w:rPr>
        <w:t>4.评审委员会评审程序</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(1)审阅谈判文件。重点审查谈判文件供应商须知中无效投标条款、采购项目技术和商务要求、资格性和符合性审查要求、评标方法和标准细则以及采购合同主要条款等规定要求。</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(2)资格性审查。依据法律、法规和谈判文件的规定，对响应文件中的资格证明、谈判保证金等进行审查，以确定供应商是否具备投标资格，具体审查项目见表。</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(3)符合性审查。依据谈判文件的规定，从响应文件的有效性、完整性和对谈判文件的响应程度进行审查，以确定供应商是否对谈判文件做出实质性响应，具体审查项目见表1。</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解释与澄清。对响应文件中含义不明确、同类问题表述不一致或者有明显文字和计算错误的内容，评审委员会可以要求供应商以书面形式做出澄清、说明或者补正，但不能超出响应文件的范围或者改变响应文件的实质性内容（包括投标报价、质量标准、交货期限等主要内容），并由法定代表人或授权代表签字。下列内容不得澄清：</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①开标时未宣读的投标价格、价格折扣和谈判文件允许提供的备选投标方案等实质内容；</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②响应文件中不响应谈判文件规定的技术参数指标和商务应答；</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③响应文件中未提供的证明其是否符合谈判文件资格性、符合性规定要求的相关材料。</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供应商解释澄清出场顺序，按照递交响应文件的倒序进行。供应商澄清材料确认，供应商为法人的，应当由其法定代表人或者授权代表签字确认；供应商为其他组织的，应当由其主要负责人或者全权代表签字确认。有效的澄清材料，是响应文件的组成部分；澄清不影响响应文件的效力。</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评审过程中，评审委员会认为谈判文件有关事项表述不明确或者需要说明的，可以要求采购人书面解释。采购人应当给予书面解释，但不得改变谈判文件的原义或者影响公平、公正评审。</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w:t>
      </w:r>
      <w:r>
        <w:rPr>
          <w:rFonts w:cs="Times New Roman" w:asciiTheme="minorEastAsia" w:hAnsiTheme="minorEastAsia"/>
          <w:kern w:val="0"/>
          <w:sz w:val="24"/>
          <w:szCs w:val="24"/>
        </w:rPr>
        <w:t>5</w:t>
      </w:r>
      <w:r>
        <w:rPr>
          <w:rFonts w:hint="eastAsia" w:cs="Times New Roman" w:asciiTheme="minorEastAsia" w:hAnsiTheme="minorEastAsia"/>
          <w:kern w:val="0"/>
          <w:sz w:val="24"/>
          <w:szCs w:val="24"/>
        </w:rPr>
        <w:t>)商务、技术评审。按照谈判文件中规定的评标方法和标准，对资格性审查和符合性审查合格的响应文件（不含价格文件）进行商务和技术评审。</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技术、商务评委应当独立评审。其中，技术评委只能按照技术评审标准进行技术评分，商务评委只能按照商务评审标准进行商务评分。独立评审前，评审委员会成员不得集体商议、沟通、协调，技术、商务评审方面存有歧义的除外。</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w:t>
      </w:r>
      <w:r>
        <w:rPr>
          <w:rFonts w:cs="Times New Roman" w:asciiTheme="minorEastAsia" w:hAnsiTheme="minorEastAsia"/>
          <w:kern w:val="0"/>
          <w:sz w:val="24"/>
          <w:szCs w:val="24"/>
        </w:rPr>
        <w:t>6</w:t>
      </w:r>
      <w:r>
        <w:rPr>
          <w:rFonts w:hint="eastAsia" w:cs="Times New Roman" w:asciiTheme="minorEastAsia" w:hAnsiTheme="minorEastAsia"/>
          <w:kern w:val="0"/>
          <w:sz w:val="24"/>
          <w:szCs w:val="24"/>
        </w:rPr>
        <w:t>)价格评审。待商务、技术评审结束后，工作人员再将价格文件交评审委员会评审。存在低价恶意竞争的，由评审委员会全体成员按前款（六）投标报价有关要求认定；不存在低价恶意竞争的，由商务评委依据评审方法和评审标准对价格文件进行评审。</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w:t>
      </w:r>
      <w:r>
        <w:rPr>
          <w:rFonts w:cs="Times New Roman" w:asciiTheme="minorEastAsia" w:hAnsiTheme="minorEastAsia"/>
          <w:kern w:val="0"/>
          <w:sz w:val="24"/>
          <w:szCs w:val="24"/>
        </w:rPr>
        <w:t>7</w:t>
      </w:r>
      <w:r>
        <w:rPr>
          <w:rFonts w:hint="eastAsia" w:cs="Times New Roman" w:asciiTheme="minorEastAsia" w:hAnsiTheme="minorEastAsia"/>
          <w:kern w:val="0"/>
          <w:sz w:val="24"/>
          <w:szCs w:val="24"/>
        </w:rPr>
        <w:t>)复核评审情况。评审委员会对评审过程资料和文件逐一进行复核。对排名前3名的预成交人、报价最高且预中标的、报价最低未预中标的、超预算以及响应文件被认定为无效的、废标的和终止评审等情形，进行重点复核、分析原因，并在评标报告中注明。</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w:t>
      </w:r>
      <w:r>
        <w:rPr>
          <w:rFonts w:cs="Times New Roman" w:asciiTheme="minorEastAsia" w:hAnsiTheme="minorEastAsia"/>
          <w:kern w:val="0"/>
          <w:sz w:val="24"/>
          <w:szCs w:val="24"/>
        </w:rPr>
        <w:t>8</w:t>
      </w:r>
      <w:r>
        <w:rPr>
          <w:rFonts w:hint="eastAsia" w:cs="Times New Roman" w:asciiTheme="minorEastAsia" w:hAnsiTheme="minorEastAsia"/>
          <w:kern w:val="0"/>
          <w:sz w:val="24"/>
          <w:szCs w:val="24"/>
        </w:rPr>
        <w:t>)评审委员会依据经过复核的评审结果，对供应商进行排序并推荐预成交人。</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w:t>
      </w:r>
      <w:r>
        <w:rPr>
          <w:rFonts w:cs="Times New Roman" w:asciiTheme="minorEastAsia" w:hAnsiTheme="minorEastAsia"/>
          <w:kern w:val="0"/>
          <w:sz w:val="24"/>
          <w:szCs w:val="24"/>
        </w:rPr>
        <w:t>9</w:t>
      </w:r>
      <w:r>
        <w:rPr>
          <w:rFonts w:hint="eastAsia" w:cs="Times New Roman" w:asciiTheme="minorEastAsia" w:hAnsiTheme="minorEastAsia"/>
          <w:kern w:val="0"/>
          <w:sz w:val="24"/>
          <w:szCs w:val="24"/>
        </w:rPr>
        <w:t>)出具评审报告。评审委员会根据全体成员签字的原始评标记录和评审结果编写评标报告。评标报告主要内容由评审委员会全体成员逐页签字确认。评审委员会成员对需要共同认定的事项存在争议的，按照少数服从多数的原则做出结论。持不同意见的评审委员会成员应当在评标报告上签署不同意见并说明理由；只签字未写明不同意见或者只写明不同意见未说明理由的，视为无意见；不签字的，不影响评标报告的有效性。评标报告应当包括下列主要内容：</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①开标日期和地点；</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②获取谈判文件供应商名单、供应商名单和评审委员会成员名单；</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③评标方法；</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④开标记录和评标情况及说明，包括无效供应商名单及原因；</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⑤评标结果和候选成交人排序、报价汇总表，以及推荐候选成交人的理由，尤其是报价最高且预中标的、报价最低未预中标的情形，超预算以及响应文件被认定为无效的、废标的和终止评审等情形，评审委员会应当进行重点复核、分析原因，并在评标报告中注明。</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⑥评审委员会授标建议。</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w:t>
      </w:r>
      <w:r>
        <w:rPr>
          <w:rFonts w:cs="Times New Roman" w:asciiTheme="minorEastAsia" w:hAnsiTheme="minorEastAsia"/>
          <w:kern w:val="0"/>
          <w:sz w:val="24"/>
          <w:szCs w:val="24"/>
        </w:rPr>
        <w:t>0</w:t>
      </w:r>
      <w:r>
        <w:rPr>
          <w:rFonts w:hint="eastAsia" w:cs="Times New Roman" w:asciiTheme="minorEastAsia" w:hAnsiTheme="minorEastAsia"/>
          <w:kern w:val="0"/>
          <w:sz w:val="24"/>
          <w:szCs w:val="24"/>
        </w:rPr>
        <w:t>)宣布评标结果。评标结果由评审委员会主任在评标现场向参与采购活动的供应商当场公布，且不得更改。公布的内容至少应包含预成交人名称、排序和投标报价，以及无效供应商名称和无效投标理由。供应商对评标结果有疑义的，评审委员会应当现场予以解答。</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5.评审委员会对响应文件密封、签署、盖章等进行审查过程中，有下列情形，但其他方面符合要求，应当评定为不影响整个响应文件有效性和采购活动公平竞争，并通过响应文件的符合性审查：</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(1)密封时未加盖、少加盖单位公章或者密封章，但是密封完好、完整标明了投标供应商名称且得到投标供应商（法定代表人或者授权代表）现场认可的；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w:t>
      </w:r>
      <w:r>
        <w:rPr>
          <w:rFonts w:hint="eastAsia" w:asciiTheme="minorEastAsia" w:hAnsiTheme="minorEastAsia"/>
          <w:kern w:val="0"/>
          <w:sz w:val="24"/>
          <w:szCs w:val="24"/>
        </w:rPr>
        <w:t xml:space="preserve"> 投标书、资格证明文件正副本数量齐全、密封完好，只是未按照谈判文件要求进行分装、统装的；价格文件内容完整、单独密封，只是未按谈判文件要求胶装成册的</w:t>
      </w:r>
      <w:r>
        <w:rPr>
          <w:rFonts w:hint="eastAsia"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(3)存在个别地方（总数不超过2个且占应签字地方的比例不超过20%）没有法定代表人签字，但有法定代表人的私人印章或者授权代表有效签字的；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(4)除谈判文件明确要求加盖供应商（法人）公章的以外，其他地方以相关专用章加盖的。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6.在商务评审过程中，有下列情形之一者，其投标将被否决：</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(1)供应商或其制造商与采购人有利害关系可能影响招标公正性的；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(2)供应商参与项目前期咨询或谈判文件编制的；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(3)不同供应商单位负责人为同一人或者存在控股、管理关系的；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(4)响应文件未按谈判文件的要求签署的；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(5)投标联合体没有提交共同投标协议的；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(6)供应商的投标书、资格证明材料未提供，或不符合国家规定或者谈判文件要求的；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(7)同一供应商提交两个以上不同的投标方案或者投标报价的，但谈判文件要求提交备选方案的除外；</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(8)响应文件不满足谈判文件关键商务条款要求的；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(9)投标报价高于谈判文件设定的最高投标限价的；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(10)供应商有串通投标、弄虚作假、行贿等违法行为的；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(11)存在谈判文件中规定的否决投标的其他商务条款的。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7.技术评审过程中，有下列情形之一者，其投标将被否决：</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(1)响应文件不满足谈判文件技术要求的关键条款（参数）要求，或关键条款（参数）无符合谈判文件要求的技术资料支持的；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(2)响应文件技术规格中一般参数超出允许偏离的最大范围或最多项数的；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(3)响应文件技术规格中的响应与事实不符或虚假投标的；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(4)供应商复制谈判文件的技术规格相关部分内容作为其响应文件中一部分的；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(5)存在谈判文件中规定的否决投标的其他技术条款的。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8.供应商及其响应文件有下列情形之一的，在符合性审查时按照无效投标处理：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(1)未按照谈判文件规定要求密封、签署、盖章的（前述第5条情形除外）；</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(2)响应文件组成明显不符合谈判文件的规定要求，影响评审委员会评判的；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(3)应交未交谈判保证金的或保证金金额不足的；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(4)投标有效期不符合谈判文件要求的；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(5)其他未满足对响应文件有效性、完整性和对谈判文件响应程度要求的情形。</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9.供应商及其响应文件有下列情形之一的，在资格性审查时按照无效投标处理：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(1)不具备谈判文件中规定的资格性要求的；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(2)法定代表人授权不符合要求的；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(3)属于禁止参加投标的供应商的；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(4)不符合法律、法规、规章规定的资格性要求的；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(5)供应商授权代理人参加省级以上政府采购活动，致使该供应商受到处罚期间，该代理人代理其他供应商参加采购活动的；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(6)代理人同期（180天以内）代理2家以上供应商参加我单位采购活动的。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10.有下列情形之一的，属于供应商相互串通投标，评审委员会应当对串标人按照无效投标处理：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(1)供应商之间协商投标报价等响应文件的实质性内容的；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(2)供应商之间约定成交人的；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(3)供应商之间约定部分供应商放弃投标或者中标的；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(4)属于同一集团、协会、商会等组织成员的供应商按照该组织要求协同投标的；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(5)供应商之间为谋取中标或者排斥特定供应商而采取其他联合行动的。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11.有下列情形之一的，视为供应商相互串通投标，评审委员会应当对串标人按照无效投标处理：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(1)不同供应商的响应文件由同一单位或者个人编制的；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(2)不同供应商委托同一单位或者个人办理投标事宜的；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(3)不同供应商的响应文件载明的项目管理成员为同一人的；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(4)不同供应商的响应文件异常一致或者投标报价呈规律性差异的；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(5)不同供应商的响应文件相互混装的；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(6)不同供应商的谈判保证金从同一单位或者个人的账户转出的。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12.有下列情形之一的，属于采购人与供应商串通投标，评审委员会应当对串标供应商按照无效投标处理：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(1)采购人在开标前开启响应文件并将有关信息泄露给其他供应商的；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(2)采购人直接或者间接向供应商泄露采购预算、评审委员会成员等信息的；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(3)采购人明示或者暗示供应商压低或者抬高投标报价的；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(4)采购人授意供应商撤换、修改响应文件的；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(5)采购人明示或者暗示供应商为特定供应商中标提供方便的；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(6)采购人与供应商为谋求特定供应商中标而采取其他串通行为的。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13.有下列情形之一的，属于虚假投标，评审委员会应当对供应商按照无效投标处理：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(1)使用通过受让或者租借等方式获取资格、资质证书投标的；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(2)使用伪造、变造的许可证件的；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(3)提供虚假的财务状况或者业绩的；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(4)提供虚假的项目负责人或者主要技术人员简历、劳动关系证明的；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(5)提供虚假信用状况的；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(6)提供虚假样品或借用、冒用其他供应商样品的；</w:t>
      </w:r>
    </w:p>
    <w:p>
      <w:pPr>
        <w:spacing w:line="360" w:lineRule="auto"/>
        <w:ind w:firstLine="480" w:firstLineChars="200"/>
        <w:rPr>
          <w:rFonts w:cs="Times New Roman" w:asciiTheme="minorEastAsia" w:hAnsiTheme="minorEastAsia"/>
          <w:kern w:val="0"/>
          <w:sz w:val="24"/>
          <w:szCs w:val="24"/>
        </w:rPr>
      </w:pPr>
      <w:r>
        <w:rPr>
          <w:rFonts w:cs="Times New Roman" w:asciiTheme="minorEastAsia" w:hAnsiTheme="minorEastAsia"/>
          <w:kern w:val="0"/>
          <w:sz w:val="24"/>
          <w:szCs w:val="24"/>
        </w:rPr>
        <w:t>(</w:t>
      </w:r>
      <w:r>
        <w:rPr>
          <w:rFonts w:hint="eastAsia" w:cs="Times New Roman" w:asciiTheme="minorEastAsia" w:hAnsiTheme="minorEastAsia"/>
          <w:kern w:val="0"/>
          <w:sz w:val="24"/>
          <w:szCs w:val="24"/>
        </w:rPr>
        <w:t>7</w:t>
      </w:r>
      <w:r>
        <w:rPr>
          <w:rFonts w:cs="Times New Roman" w:asciiTheme="minorEastAsia" w:hAnsiTheme="minorEastAsia"/>
          <w:kern w:val="0"/>
          <w:sz w:val="24"/>
          <w:szCs w:val="24"/>
        </w:rPr>
        <w:t>)</w:t>
      </w:r>
      <w:r>
        <w:rPr>
          <w:rFonts w:hint="eastAsia" w:cs="Times New Roman" w:asciiTheme="minorEastAsia" w:hAnsiTheme="minorEastAsia"/>
          <w:kern w:val="0"/>
          <w:sz w:val="24"/>
          <w:szCs w:val="24"/>
        </w:rPr>
        <w:t>其他弄虚作假行为的。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14.有下列情形之一的，按照废标处理：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(1)出现影响采购公平公正的违法、违规行为的；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(2)因重大变故，取消采购任务的。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15.开标后对下列情况，采购人以及评审委员会按照《政府采购法》相关规定处理。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(1)经评审满足谈判文件要求的投标供应商只有2家的，评审委员会应当分析原因。评审委员会（五分之四以上评委）认定供应商报价客观合理的，应当在评标报告中注明，</w:t>
      </w:r>
      <w:r>
        <w:rPr>
          <w:rFonts w:hint="eastAsia" w:asciiTheme="minorEastAsia" w:hAnsiTheme="minorEastAsia"/>
          <w:kern w:val="0"/>
          <w:sz w:val="24"/>
          <w:szCs w:val="24"/>
        </w:rPr>
        <w:t>采购机构报采购管理部门审批同意后，可直接比照竞争性谈判方式</w:t>
      </w:r>
      <w:r>
        <w:rPr>
          <w:rFonts w:hint="eastAsia" w:cs="Times New Roman" w:asciiTheme="minorEastAsia" w:hAnsiTheme="minorEastAsia"/>
          <w:kern w:val="0"/>
          <w:sz w:val="24"/>
          <w:szCs w:val="24"/>
        </w:rPr>
        <w:t>，按照至少2轮谈判、供应商3次报价程序，采用原评审方法及评审标准组织评审。</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(2)经评审满足谈判文件要求的供应商只有1家时，评审委员会（五分之四以上评委）认定供应商满足单一来源条件的，应当在评标报告中注明；无其他供应商响应时，报采购管理部门申请变更采购方式。</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评审委员会（五分之四以上评委）认定采购项目技术指标参数、采购预算编制等方面存在问题，或者认定采购竞争不够充分的，应当予以废标，并在评标报告中注明；采购人应当报采购管理部门处理或者重新组织招标。</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供应商报价均超采购预算的，评审委员会应当分析原因；一般情况下视为需求部门（单位）不能支付，应当予以废标。评审委员会（五分之四以上评委）认定供应商报价客观合理的，可以继续评审，并出具评标报告。</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(5)部分供应商报价超采购预算的，应当继续进行评审。第一中标候选供应商报价未超采购预算的，评审结果有效；第一中标候选供应商超采购预算的，报采购管理部门处理，应当在评标报告中注明。</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(6)同一需求部门（单位）同一经费来源的同类物资，部分产品单价或者金额超采购预算，但中标总金额未超采购预算的，不视为需求部门（单位）不能支付。</w:t>
      </w:r>
    </w:p>
    <w:p>
      <w:pPr>
        <w:spacing w:line="360" w:lineRule="auto"/>
        <w:ind w:firstLine="480" w:firstLineChars="200"/>
        <w:rPr>
          <w:rFonts w:cs="Times New Roman" w:asciiTheme="minorEastAsia" w:hAnsiTheme="minorEastAsia"/>
          <w:kern w:val="0"/>
          <w:sz w:val="24"/>
          <w:szCs w:val="24"/>
        </w:rPr>
        <w:sectPr>
          <w:pgSz w:w="11906" w:h="16838"/>
          <w:pgMar w:top="1440" w:right="1440" w:bottom="1440" w:left="1440" w:header="851" w:footer="992" w:gutter="0"/>
          <w:cols w:space="425" w:num="1"/>
          <w:docGrid w:linePitch="579" w:charSpace="-1844"/>
        </w:sectPr>
      </w:pPr>
      <w:r>
        <w:rPr>
          <w:rFonts w:hint="eastAsia" w:cs="Times New Roman" w:asciiTheme="minorEastAsia" w:hAnsiTheme="minorEastAsia"/>
          <w:kern w:val="0"/>
          <w:sz w:val="24"/>
          <w:szCs w:val="24"/>
        </w:rPr>
        <w:t>16.经评审委员会评审，认为所有投标都不符合谈判文件要求的，评审委员会将否决所有投标，采购人有权重新组织招标。</w:t>
      </w:r>
    </w:p>
    <w:p>
      <w:pPr>
        <w:spacing w:line="360" w:lineRule="auto"/>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六、</w:t>
      </w:r>
      <w:r>
        <w:rPr>
          <w:rFonts w:cs="Times New Roman" w:asciiTheme="minorEastAsia" w:hAnsiTheme="minorEastAsia"/>
          <w:b/>
          <w:kern w:val="0"/>
          <w:sz w:val="28"/>
          <w:szCs w:val="28"/>
        </w:rPr>
        <w:t>质疑与投诉</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（一）供应商应当按照规定的程序和渠道实名质疑、投诉，其质疑、投诉应当有具体的质疑、投诉事项及证明其利益受到损害的事实根据，不得进行虚假、恶意的质疑和投诉，匿名质疑、投诉不受理。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（二）质疑由采购人设立的质疑处理机构受理，投诉由采购代理机构受理。供应商投诉事项应当是经过质疑的事项，未质疑的事项，投诉不予受理。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（三）采购人</w:t>
      </w:r>
      <w:r>
        <w:rPr>
          <w:rFonts w:cs="Times New Roman" w:asciiTheme="minorEastAsia" w:hAnsiTheme="minorEastAsia"/>
          <w:kern w:val="0"/>
          <w:sz w:val="24"/>
          <w:szCs w:val="24"/>
        </w:rPr>
        <w:t>质疑</w:t>
      </w:r>
      <w:r>
        <w:rPr>
          <w:rFonts w:hint="eastAsia" w:cs="Times New Roman" w:asciiTheme="minorEastAsia" w:hAnsiTheme="minorEastAsia"/>
          <w:kern w:val="0"/>
          <w:sz w:val="24"/>
          <w:szCs w:val="24"/>
        </w:rPr>
        <w:t>处理机构</w:t>
      </w:r>
      <w:r>
        <w:rPr>
          <w:rFonts w:cs="Times New Roman" w:asciiTheme="minorEastAsia" w:hAnsiTheme="minorEastAsia"/>
          <w:kern w:val="0"/>
          <w:sz w:val="24"/>
          <w:szCs w:val="24"/>
        </w:rPr>
        <w:t>联系方式</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w:t>
      </w:r>
      <w:r>
        <w:rPr>
          <w:rFonts w:cs="Times New Roman" w:asciiTheme="minorEastAsia" w:hAnsiTheme="minorEastAsia"/>
          <w:kern w:val="0"/>
          <w:sz w:val="24"/>
          <w:szCs w:val="24"/>
        </w:rPr>
        <w:t>联系人：</w:t>
      </w:r>
      <w:r>
        <w:rPr>
          <w:rFonts w:hint="eastAsia" w:cs="Times New Roman" w:asciiTheme="minorEastAsia" w:hAnsiTheme="minorEastAsia"/>
          <w:kern w:val="0"/>
          <w:sz w:val="24"/>
          <w:szCs w:val="24"/>
        </w:rPr>
        <w:t>张工</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w:t>
      </w:r>
      <w:r>
        <w:rPr>
          <w:rFonts w:cs="Times New Roman" w:asciiTheme="minorEastAsia" w:hAnsiTheme="minorEastAsia"/>
          <w:kern w:val="0"/>
          <w:sz w:val="24"/>
          <w:szCs w:val="24"/>
        </w:rPr>
        <w:t>电话：</w:t>
      </w:r>
      <w:r>
        <w:rPr>
          <w:rFonts w:hint="eastAsia" w:cs="Times New Roman" w:asciiTheme="minorEastAsia" w:hAnsiTheme="minorEastAsia"/>
          <w:kern w:val="0"/>
          <w:sz w:val="24"/>
          <w:szCs w:val="24"/>
        </w:rPr>
        <w:t>15956584622</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w:t>
      </w:r>
      <w:r>
        <w:rPr>
          <w:rFonts w:cs="Times New Roman" w:asciiTheme="minorEastAsia" w:hAnsiTheme="minorEastAsia"/>
          <w:kern w:val="0"/>
          <w:sz w:val="24"/>
          <w:szCs w:val="24"/>
        </w:rPr>
        <w:t>地址：</w:t>
      </w:r>
      <w:r>
        <w:rPr>
          <w:rFonts w:hint="eastAsia" w:ascii="宋体" w:hAnsi="宋体"/>
          <w:szCs w:val="21"/>
        </w:rPr>
        <w:t>合肥市望江东路金中环C座1608-09室</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w:t>
      </w:r>
      <w:r>
        <w:rPr>
          <w:rFonts w:cs="Times New Roman" w:asciiTheme="minorEastAsia" w:hAnsiTheme="minorEastAsia"/>
          <w:kern w:val="0"/>
          <w:sz w:val="24"/>
          <w:szCs w:val="24"/>
        </w:rPr>
        <w:t>邮编：</w:t>
      </w:r>
      <w:r>
        <w:rPr>
          <w:rFonts w:hint="eastAsia" w:cs="Times New Roman" w:asciiTheme="minorEastAsia" w:hAnsiTheme="minorEastAsia"/>
          <w:kern w:val="0"/>
          <w:sz w:val="24"/>
          <w:szCs w:val="24"/>
        </w:rPr>
        <w:t>230001</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（四）供应商认为谈判文件存在限制性、倾向性、排他性条款，使自己权益受到损害的，可以在投标截止时间10日前向采购人设立的质疑处理机构提出书面质疑和相关证明材料。</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（五）供应商</w:t>
      </w:r>
      <w:r>
        <w:rPr>
          <w:rFonts w:cs="Times New Roman" w:asciiTheme="minorEastAsia" w:hAnsiTheme="minorEastAsia"/>
          <w:kern w:val="0"/>
          <w:sz w:val="24"/>
          <w:szCs w:val="24"/>
        </w:rPr>
        <w:t>认为下列事项使自己权益受到损害的，</w:t>
      </w:r>
      <w:r>
        <w:rPr>
          <w:rFonts w:hint="eastAsia" w:cs="Times New Roman" w:asciiTheme="minorEastAsia" w:hAnsiTheme="minorEastAsia"/>
          <w:kern w:val="0"/>
          <w:sz w:val="24"/>
          <w:szCs w:val="24"/>
        </w:rPr>
        <w:t>可以</w:t>
      </w:r>
      <w:r>
        <w:rPr>
          <w:rFonts w:cs="Times New Roman" w:asciiTheme="minorEastAsia" w:hAnsiTheme="minorEastAsia"/>
          <w:kern w:val="0"/>
          <w:sz w:val="24"/>
          <w:szCs w:val="24"/>
        </w:rPr>
        <w:t>在评审结果公示期内，向</w:t>
      </w:r>
      <w:r>
        <w:rPr>
          <w:rFonts w:hint="eastAsia" w:cs="Times New Roman" w:asciiTheme="minorEastAsia" w:hAnsiTheme="minorEastAsia"/>
          <w:kern w:val="0"/>
          <w:sz w:val="24"/>
          <w:szCs w:val="24"/>
        </w:rPr>
        <w:t>采购人设立的质疑处理机构</w:t>
      </w:r>
      <w:r>
        <w:rPr>
          <w:rFonts w:cs="Times New Roman" w:asciiTheme="minorEastAsia" w:hAnsiTheme="minorEastAsia"/>
          <w:kern w:val="0"/>
          <w:sz w:val="24"/>
          <w:szCs w:val="24"/>
        </w:rPr>
        <w:t>提出书面质疑</w:t>
      </w:r>
      <w:r>
        <w:rPr>
          <w:rFonts w:hint="eastAsia" w:cs="Times New Roman" w:asciiTheme="minorEastAsia" w:hAnsiTheme="minorEastAsia"/>
          <w:kern w:val="0"/>
          <w:sz w:val="24"/>
          <w:szCs w:val="24"/>
        </w:rPr>
        <w:t>和相关证明材料：</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1.采购人</w:t>
      </w:r>
      <w:r>
        <w:rPr>
          <w:rFonts w:cs="Times New Roman" w:asciiTheme="minorEastAsia" w:hAnsiTheme="minorEastAsia"/>
          <w:kern w:val="0"/>
          <w:sz w:val="24"/>
          <w:szCs w:val="24"/>
        </w:rPr>
        <w:t>或者相关人员与供应商有利害关系，应当回避而没有回避的；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w:t>
      </w:r>
      <w:r>
        <w:rPr>
          <w:rFonts w:cs="Times New Roman" w:asciiTheme="minorEastAsia" w:hAnsiTheme="minorEastAsia"/>
          <w:kern w:val="0"/>
          <w:sz w:val="24"/>
          <w:szCs w:val="24"/>
        </w:rPr>
        <w:t>采购程序违反采购相关规定的；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3.供应商</w:t>
      </w:r>
      <w:r>
        <w:rPr>
          <w:rFonts w:cs="Times New Roman" w:asciiTheme="minorEastAsia" w:hAnsiTheme="minorEastAsia"/>
          <w:kern w:val="0"/>
          <w:sz w:val="24"/>
          <w:szCs w:val="24"/>
        </w:rPr>
        <w:t>之间</w:t>
      </w:r>
      <w:r>
        <w:rPr>
          <w:rFonts w:hint="eastAsia" w:cs="Times New Roman" w:asciiTheme="minorEastAsia" w:hAnsiTheme="minorEastAsia"/>
          <w:kern w:val="0"/>
          <w:sz w:val="24"/>
          <w:szCs w:val="24"/>
        </w:rPr>
        <w:t>或者采购人与供应商之间</w:t>
      </w:r>
      <w:r>
        <w:rPr>
          <w:rFonts w:cs="Times New Roman" w:asciiTheme="minorEastAsia" w:hAnsiTheme="minorEastAsia"/>
          <w:kern w:val="0"/>
          <w:sz w:val="24"/>
          <w:szCs w:val="24"/>
        </w:rPr>
        <w:t>存在串通行为的；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w:t>
      </w:r>
      <w:r>
        <w:rPr>
          <w:rFonts w:cs="Times New Roman" w:asciiTheme="minorEastAsia" w:hAnsiTheme="minorEastAsia"/>
          <w:kern w:val="0"/>
          <w:sz w:val="24"/>
          <w:szCs w:val="24"/>
        </w:rPr>
        <w:t>提供虚假资料</w:t>
      </w:r>
      <w:r>
        <w:rPr>
          <w:rFonts w:hint="eastAsia" w:cs="Times New Roman" w:asciiTheme="minorEastAsia" w:hAnsiTheme="minorEastAsia"/>
          <w:kern w:val="0"/>
          <w:sz w:val="24"/>
          <w:szCs w:val="24"/>
        </w:rPr>
        <w:t>骗取中标</w:t>
      </w:r>
      <w:r>
        <w:rPr>
          <w:rFonts w:cs="Times New Roman" w:asciiTheme="minorEastAsia" w:hAnsiTheme="minorEastAsia"/>
          <w:kern w:val="0"/>
          <w:sz w:val="24"/>
          <w:szCs w:val="24"/>
        </w:rPr>
        <w:t>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w:t>
      </w:r>
      <w:r>
        <w:rPr>
          <w:rFonts w:cs="Times New Roman" w:asciiTheme="minorEastAsia" w:hAnsiTheme="minorEastAsia"/>
          <w:kern w:val="0"/>
          <w:sz w:val="24"/>
          <w:szCs w:val="24"/>
        </w:rPr>
        <w:t>违反采购相关法律法规使自己权益受到损害的其他事项。</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（六）</w:t>
      </w:r>
      <w:r>
        <w:rPr>
          <w:rFonts w:cs="Times New Roman" w:asciiTheme="minorEastAsia" w:hAnsiTheme="minorEastAsia"/>
          <w:kern w:val="0"/>
          <w:sz w:val="24"/>
          <w:szCs w:val="24"/>
        </w:rPr>
        <w:t>书面质疑</w:t>
      </w:r>
      <w:r>
        <w:rPr>
          <w:rFonts w:hint="eastAsia" w:cs="Times New Roman" w:asciiTheme="minorEastAsia" w:hAnsiTheme="minorEastAsia"/>
          <w:kern w:val="0"/>
          <w:sz w:val="24"/>
          <w:szCs w:val="24"/>
        </w:rPr>
        <w:t>应</w:t>
      </w:r>
      <w:r>
        <w:rPr>
          <w:rFonts w:cs="Times New Roman" w:asciiTheme="minorEastAsia" w:hAnsiTheme="minorEastAsia"/>
          <w:kern w:val="0"/>
          <w:sz w:val="24"/>
          <w:szCs w:val="24"/>
        </w:rPr>
        <w:t>由法定代表人签字</w:t>
      </w:r>
      <w:r>
        <w:rPr>
          <w:rFonts w:hint="eastAsia" w:cs="Times New Roman" w:asciiTheme="minorEastAsia" w:hAnsiTheme="minorEastAsia"/>
          <w:kern w:val="0"/>
          <w:sz w:val="24"/>
          <w:szCs w:val="24"/>
        </w:rPr>
        <w:t>并</w:t>
      </w:r>
      <w:r>
        <w:rPr>
          <w:rFonts w:cs="Times New Roman" w:asciiTheme="minorEastAsia" w:hAnsiTheme="minorEastAsia"/>
          <w:kern w:val="0"/>
          <w:sz w:val="24"/>
          <w:szCs w:val="24"/>
        </w:rPr>
        <w:t>加盖单位公章，同时出具法定代表人资格证明书</w:t>
      </w:r>
      <w:r>
        <w:rPr>
          <w:rFonts w:hint="eastAsia" w:cs="Times New Roman" w:asciiTheme="minorEastAsia" w:hAnsiTheme="minorEastAsia"/>
          <w:kern w:val="0"/>
          <w:sz w:val="24"/>
          <w:szCs w:val="24"/>
        </w:rPr>
        <w:t>。</w:t>
      </w:r>
      <w:r>
        <w:rPr>
          <w:rFonts w:cs="Times New Roman" w:asciiTheme="minorEastAsia" w:hAnsiTheme="minorEastAsia"/>
          <w:kern w:val="0"/>
          <w:sz w:val="24"/>
          <w:szCs w:val="24"/>
        </w:rPr>
        <w:t>由</w:t>
      </w:r>
      <w:r>
        <w:rPr>
          <w:rFonts w:hint="eastAsia" w:cs="Times New Roman" w:asciiTheme="minorEastAsia" w:hAnsiTheme="minorEastAsia"/>
          <w:kern w:val="0"/>
          <w:sz w:val="24"/>
          <w:szCs w:val="24"/>
        </w:rPr>
        <w:t>全权代表</w:t>
      </w:r>
      <w:r>
        <w:rPr>
          <w:rFonts w:cs="Times New Roman" w:asciiTheme="minorEastAsia" w:hAnsiTheme="minorEastAsia"/>
          <w:kern w:val="0"/>
          <w:sz w:val="24"/>
          <w:szCs w:val="24"/>
        </w:rPr>
        <w:t>签字的，必须有法定代表人授权</w:t>
      </w:r>
      <w:r>
        <w:rPr>
          <w:rFonts w:hint="eastAsia" w:cs="Times New Roman" w:asciiTheme="minorEastAsia" w:hAnsiTheme="minorEastAsia"/>
          <w:kern w:val="0"/>
          <w:sz w:val="24"/>
          <w:szCs w:val="24"/>
        </w:rPr>
        <w:t>书和</w:t>
      </w:r>
      <w:r>
        <w:rPr>
          <w:rFonts w:cs="Times New Roman" w:asciiTheme="minorEastAsia" w:hAnsiTheme="minorEastAsia"/>
          <w:kern w:val="0"/>
          <w:sz w:val="24"/>
          <w:szCs w:val="24"/>
        </w:rPr>
        <w:t>法定代表人资格证明书</w:t>
      </w:r>
      <w:r>
        <w:rPr>
          <w:rFonts w:hint="eastAsia" w:cs="Times New Roman" w:asciiTheme="minorEastAsia" w:hAnsiTheme="minorEastAsia"/>
          <w:kern w:val="0"/>
          <w:sz w:val="24"/>
          <w:szCs w:val="24"/>
        </w:rPr>
        <w:t>，并</w:t>
      </w:r>
      <w:r>
        <w:rPr>
          <w:rFonts w:cs="Times New Roman" w:asciiTheme="minorEastAsia" w:hAnsiTheme="minorEastAsia"/>
          <w:kern w:val="0"/>
          <w:sz w:val="24"/>
          <w:szCs w:val="24"/>
        </w:rPr>
        <w:t>加盖单位公章</w:t>
      </w:r>
      <w:r>
        <w:rPr>
          <w:rFonts w:hint="eastAsia" w:cs="Times New Roman" w:asciiTheme="minorEastAsia" w:hAnsiTheme="minorEastAsia"/>
          <w:kern w:val="0"/>
          <w:sz w:val="24"/>
          <w:szCs w:val="24"/>
        </w:rPr>
        <w:t>。书面</w:t>
      </w:r>
      <w:r>
        <w:rPr>
          <w:rFonts w:cs="Times New Roman" w:asciiTheme="minorEastAsia" w:hAnsiTheme="minorEastAsia"/>
          <w:kern w:val="0"/>
          <w:sz w:val="24"/>
          <w:szCs w:val="24"/>
        </w:rPr>
        <w:t>质疑主要包括下列内容：</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1.质疑的采购项目名称和项目编号；</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w:t>
      </w:r>
      <w:r>
        <w:rPr>
          <w:rFonts w:cs="Times New Roman" w:asciiTheme="minorEastAsia" w:hAnsiTheme="minorEastAsia"/>
          <w:kern w:val="0"/>
          <w:sz w:val="24"/>
          <w:szCs w:val="24"/>
        </w:rPr>
        <w:t>质疑</w:t>
      </w:r>
      <w:r>
        <w:rPr>
          <w:rFonts w:hint="eastAsia" w:cs="Times New Roman" w:asciiTheme="minorEastAsia" w:hAnsiTheme="minorEastAsia"/>
          <w:kern w:val="0"/>
          <w:sz w:val="24"/>
          <w:szCs w:val="24"/>
        </w:rPr>
        <w:t>人</w:t>
      </w:r>
      <w:r>
        <w:rPr>
          <w:rFonts w:cs="Times New Roman" w:asciiTheme="minorEastAsia" w:hAnsiTheme="minorEastAsia"/>
          <w:kern w:val="0"/>
          <w:sz w:val="24"/>
          <w:szCs w:val="24"/>
        </w:rPr>
        <w:t>和被质疑人的名称，质疑人的地址、联系方式等；</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w:t>
      </w:r>
      <w:r>
        <w:rPr>
          <w:rFonts w:cs="Times New Roman" w:asciiTheme="minorEastAsia" w:hAnsiTheme="minorEastAsia"/>
          <w:kern w:val="0"/>
          <w:sz w:val="24"/>
          <w:szCs w:val="24"/>
        </w:rPr>
        <w:t>具体的质疑事项、事实依据及相关证明材料；</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w:t>
      </w:r>
      <w:r>
        <w:rPr>
          <w:rFonts w:cs="Times New Roman" w:asciiTheme="minorEastAsia" w:hAnsiTheme="minorEastAsia"/>
          <w:kern w:val="0"/>
          <w:sz w:val="24"/>
          <w:szCs w:val="24"/>
        </w:rPr>
        <w:t>提起质疑的日期。</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（七）</w:t>
      </w:r>
      <w:r>
        <w:rPr>
          <w:rFonts w:cs="Times New Roman" w:asciiTheme="minorEastAsia" w:hAnsiTheme="minorEastAsia"/>
          <w:kern w:val="0"/>
          <w:sz w:val="24"/>
          <w:szCs w:val="24"/>
        </w:rPr>
        <w:t>质疑有以下情形之一的，</w:t>
      </w:r>
      <w:r>
        <w:rPr>
          <w:rFonts w:hint="eastAsia" w:cs="Times New Roman" w:asciiTheme="minorEastAsia" w:hAnsiTheme="minorEastAsia"/>
          <w:kern w:val="0"/>
          <w:sz w:val="24"/>
          <w:szCs w:val="24"/>
        </w:rPr>
        <w:t>质疑处理机构</w:t>
      </w:r>
      <w:r>
        <w:rPr>
          <w:rFonts w:cs="Times New Roman" w:asciiTheme="minorEastAsia" w:hAnsiTheme="minorEastAsia"/>
          <w:kern w:val="0"/>
          <w:sz w:val="24"/>
          <w:szCs w:val="24"/>
        </w:rPr>
        <w:t>不予受理：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1.未按规定程序和渠道提出质疑的；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w:t>
      </w:r>
      <w:r>
        <w:rPr>
          <w:rFonts w:cs="Times New Roman" w:asciiTheme="minorEastAsia" w:hAnsiTheme="minorEastAsia"/>
          <w:kern w:val="0"/>
          <w:sz w:val="24"/>
          <w:szCs w:val="24"/>
        </w:rPr>
        <w:t>超</w:t>
      </w:r>
      <w:r>
        <w:rPr>
          <w:rFonts w:hint="eastAsia" w:cs="Times New Roman" w:asciiTheme="minorEastAsia" w:hAnsiTheme="minorEastAsia"/>
          <w:kern w:val="0"/>
          <w:sz w:val="24"/>
          <w:szCs w:val="24"/>
        </w:rPr>
        <w:t>过</w:t>
      </w:r>
      <w:r>
        <w:rPr>
          <w:rFonts w:cs="Times New Roman" w:asciiTheme="minorEastAsia" w:hAnsiTheme="minorEastAsia"/>
          <w:kern w:val="0"/>
          <w:sz w:val="24"/>
          <w:szCs w:val="24"/>
        </w:rPr>
        <w:t>质疑限期</w:t>
      </w:r>
      <w:r>
        <w:rPr>
          <w:rFonts w:hint="eastAsia" w:cs="Times New Roman" w:asciiTheme="minorEastAsia" w:hAnsiTheme="minorEastAsia"/>
          <w:kern w:val="0"/>
          <w:sz w:val="24"/>
          <w:szCs w:val="24"/>
        </w:rPr>
        <w:t>的</w:t>
      </w:r>
      <w:r>
        <w:rPr>
          <w:rFonts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3.书面</w:t>
      </w:r>
      <w:r>
        <w:rPr>
          <w:rFonts w:cs="Times New Roman" w:asciiTheme="minorEastAsia" w:hAnsiTheme="minorEastAsia"/>
          <w:kern w:val="0"/>
          <w:sz w:val="24"/>
          <w:szCs w:val="24"/>
        </w:rPr>
        <w:t>质疑的形式和内容不符合</w:t>
      </w:r>
      <w:r>
        <w:rPr>
          <w:rFonts w:hint="eastAsia" w:cs="Times New Roman" w:asciiTheme="minorEastAsia" w:hAnsiTheme="minorEastAsia"/>
          <w:kern w:val="0"/>
          <w:sz w:val="24"/>
          <w:szCs w:val="24"/>
        </w:rPr>
        <w:t>上述要求的</w:t>
      </w:r>
      <w:r>
        <w:rPr>
          <w:rFonts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w:t>
      </w:r>
      <w:r>
        <w:rPr>
          <w:rFonts w:cs="Times New Roman" w:asciiTheme="minorEastAsia" w:hAnsiTheme="minorEastAsia"/>
          <w:kern w:val="0"/>
          <w:sz w:val="24"/>
          <w:szCs w:val="24"/>
        </w:rPr>
        <w:t>提出的质疑事项已经明确答复的；</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5.</w:t>
      </w:r>
      <w:r>
        <w:rPr>
          <w:rFonts w:cs="Times New Roman" w:asciiTheme="minorEastAsia" w:hAnsiTheme="minorEastAsia"/>
          <w:kern w:val="0"/>
          <w:sz w:val="24"/>
          <w:szCs w:val="24"/>
        </w:rPr>
        <w:t>法律法规规定的其他不予受理的条件。</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（八）质疑处理机构</w:t>
      </w:r>
      <w:r>
        <w:rPr>
          <w:rFonts w:cs="Times New Roman" w:asciiTheme="minorEastAsia" w:hAnsiTheme="minorEastAsia"/>
          <w:kern w:val="0"/>
          <w:sz w:val="24"/>
          <w:szCs w:val="24"/>
        </w:rPr>
        <w:t>应当自质疑签收之日起</w:t>
      </w:r>
      <w:r>
        <w:rPr>
          <w:rFonts w:hint="eastAsia" w:cs="Times New Roman" w:asciiTheme="minorEastAsia" w:hAnsiTheme="minorEastAsia"/>
          <w:kern w:val="0"/>
          <w:sz w:val="24"/>
          <w:szCs w:val="24"/>
        </w:rPr>
        <w:t>7</w:t>
      </w:r>
      <w:r>
        <w:rPr>
          <w:rFonts w:cs="Times New Roman" w:asciiTheme="minorEastAsia" w:hAnsiTheme="minorEastAsia"/>
          <w:kern w:val="0"/>
          <w:sz w:val="24"/>
          <w:szCs w:val="24"/>
        </w:rPr>
        <w:t>个工作日内做出书面答复。答复内容同时通知与处理结果有关的供应商，但答复内容不得涉及供应商的商业秘密。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质疑处理机构</w:t>
      </w:r>
      <w:r>
        <w:rPr>
          <w:rFonts w:cs="Times New Roman" w:asciiTheme="minorEastAsia" w:hAnsiTheme="minorEastAsia"/>
          <w:kern w:val="0"/>
          <w:sz w:val="24"/>
          <w:szCs w:val="24"/>
        </w:rPr>
        <w:t>在作出书面答复之前，可以采取现场解答的方式向</w:t>
      </w:r>
      <w:r>
        <w:rPr>
          <w:rFonts w:hint="eastAsia" w:cs="Times New Roman" w:asciiTheme="minorEastAsia" w:hAnsiTheme="minorEastAsia"/>
          <w:kern w:val="0"/>
          <w:sz w:val="24"/>
          <w:szCs w:val="24"/>
        </w:rPr>
        <w:t>质疑人</w:t>
      </w:r>
      <w:r>
        <w:rPr>
          <w:rFonts w:cs="Times New Roman" w:asciiTheme="minorEastAsia" w:hAnsiTheme="minorEastAsia"/>
          <w:kern w:val="0"/>
          <w:sz w:val="24"/>
          <w:szCs w:val="24"/>
        </w:rPr>
        <w:t>通报初步处理结果。供应商认可处理结果的，可在出具书面申请后撤回质疑或者放弃质疑，</w:t>
      </w:r>
      <w:r>
        <w:rPr>
          <w:rFonts w:hint="eastAsia" w:cs="Times New Roman" w:asciiTheme="minorEastAsia" w:hAnsiTheme="minorEastAsia"/>
          <w:kern w:val="0"/>
          <w:sz w:val="24"/>
          <w:szCs w:val="24"/>
        </w:rPr>
        <w:t>质疑处理机构</w:t>
      </w:r>
      <w:r>
        <w:rPr>
          <w:rFonts w:cs="Times New Roman" w:asciiTheme="minorEastAsia" w:hAnsiTheme="minorEastAsia"/>
          <w:kern w:val="0"/>
          <w:sz w:val="24"/>
          <w:szCs w:val="24"/>
        </w:rPr>
        <w:t>不再进行书面答复。</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（九）供应商</w:t>
      </w:r>
      <w:r>
        <w:rPr>
          <w:rFonts w:cs="Times New Roman" w:asciiTheme="minorEastAsia" w:hAnsiTheme="minorEastAsia"/>
          <w:kern w:val="0"/>
          <w:sz w:val="24"/>
          <w:szCs w:val="24"/>
        </w:rPr>
        <w:t>质疑有下列情形之一的，视为无效质疑，</w:t>
      </w:r>
      <w:r>
        <w:rPr>
          <w:rFonts w:hint="eastAsia" w:cs="Times New Roman" w:asciiTheme="minorEastAsia" w:hAnsiTheme="minorEastAsia"/>
          <w:kern w:val="0"/>
          <w:sz w:val="24"/>
          <w:szCs w:val="24"/>
        </w:rPr>
        <w:t>质疑处理机构</w:t>
      </w:r>
      <w:r>
        <w:rPr>
          <w:rFonts w:cs="Times New Roman" w:asciiTheme="minorEastAsia" w:hAnsiTheme="minorEastAsia"/>
          <w:kern w:val="0"/>
          <w:sz w:val="24"/>
          <w:szCs w:val="24"/>
        </w:rPr>
        <w:t>应当驳回质疑：</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w:t>
      </w:r>
      <w:r>
        <w:rPr>
          <w:rFonts w:cs="Times New Roman" w:asciiTheme="minorEastAsia" w:hAnsiTheme="minorEastAsia"/>
          <w:kern w:val="0"/>
          <w:sz w:val="24"/>
          <w:szCs w:val="24"/>
        </w:rPr>
        <w:t>无具体的质疑事项，或者质疑事项缺乏事实和法律依据</w:t>
      </w:r>
      <w:r>
        <w:rPr>
          <w:rFonts w:hint="eastAsia" w:cs="Times New Roman" w:asciiTheme="minorEastAsia" w:hAnsiTheme="minorEastAsia"/>
          <w:kern w:val="0"/>
          <w:sz w:val="24"/>
          <w:szCs w:val="24"/>
        </w:rPr>
        <w:t>的</w:t>
      </w:r>
      <w:r>
        <w:rPr>
          <w:rFonts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w:t>
      </w:r>
      <w:r>
        <w:rPr>
          <w:rFonts w:cs="Times New Roman" w:asciiTheme="minorEastAsia" w:hAnsiTheme="minorEastAsia"/>
          <w:kern w:val="0"/>
          <w:sz w:val="24"/>
          <w:szCs w:val="24"/>
        </w:rPr>
        <w:t>质疑内容涉及评审工作细节、其他供应商</w:t>
      </w:r>
      <w:r>
        <w:rPr>
          <w:rFonts w:hint="eastAsia" w:cs="Times New Roman" w:asciiTheme="minorEastAsia" w:hAnsiTheme="minorEastAsia"/>
          <w:kern w:val="0"/>
          <w:sz w:val="24"/>
          <w:szCs w:val="24"/>
        </w:rPr>
        <w:t>投标</w:t>
      </w:r>
      <w:r>
        <w:rPr>
          <w:rFonts w:cs="Times New Roman" w:asciiTheme="minorEastAsia" w:hAnsiTheme="minorEastAsia"/>
          <w:kern w:val="0"/>
          <w:sz w:val="24"/>
          <w:szCs w:val="24"/>
        </w:rPr>
        <w:t>资料等保密事项且无法提供信息的合法来源</w:t>
      </w:r>
      <w:r>
        <w:rPr>
          <w:rFonts w:hint="eastAsia" w:cs="Times New Roman" w:asciiTheme="minorEastAsia" w:hAnsiTheme="minorEastAsia"/>
          <w:kern w:val="0"/>
          <w:sz w:val="24"/>
          <w:szCs w:val="24"/>
        </w:rPr>
        <w:t>的</w:t>
      </w:r>
      <w:r>
        <w:rPr>
          <w:rFonts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w:t>
      </w:r>
      <w:r>
        <w:rPr>
          <w:rFonts w:cs="Times New Roman" w:asciiTheme="minorEastAsia" w:hAnsiTheme="minorEastAsia"/>
          <w:kern w:val="0"/>
          <w:sz w:val="24"/>
          <w:szCs w:val="24"/>
        </w:rPr>
        <w:t>质疑已经处理并明确答复后，质疑人就同一事项再次提起质疑且未提供新的有效证据</w:t>
      </w:r>
      <w:r>
        <w:rPr>
          <w:rFonts w:hint="eastAsia" w:cs="Times New Roman" w:asciiTheme="minorEastAsia" w:hAnsiTheme="minorEastAsia"/>
          <w:kern w:val="0"/>
          <w:sz w:val="24"/>
          <w:szCs w:val="24"/>
        </w:rPr>
        <w:t>的</w:t>
      </w:r>
      <w:r>
        <w:rPr>
          <w:rFonts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质疑处理机构</w:t>
      </w:r>
      <w:r>
        <w:rPr>
          <w:rFonts w:cs="Times New Roman" w:asciiTheme="minorEastAsia" w:hAnsiTheme="minorEastAsia"/>
          <w:kern w:val="0"/>
          <w:sz w:val="24"/>
          <w:szCs w:val="24"/>
        </w:rPr>
        <w:t>应当对供应商无效质疑情况记录存档</w:t>
      </w:r>
      <w:r>
        <w:rPr>
          <w:rFonts w:hint="eastAsia"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（十）供应商</w:t>
      </w:r>
      <w:r>
        <w:rPr>
          <w:rFonts w:cs="Times New Roman" w:asciiTheme="minorEastAsia" w:hAnsiTheme="minorEastAsia"/>
          <w:kern w:val="0"/>
          <w:sz w:val="24"/>
          <w:szCs w:val="24"/>
        </w:rPr>
        <w:t>进行虚假和恶意质疑，干扰</w:t>
      </w:r>
      <w:r>
        <w:rPr>
          <w:rFonts w:hint="eastAsia" w:cs="Times New Roman" w:asciiTheme="minorEastAsia" w:hAnsiTheme="minorEastAsia"/>
          <w:kern w:val="0"/>
          <w:sz w:val="24"/>
          <w:szCs w:val="24"/>
        </w:rPr>
        <w:t>本次</w:t>
      </w:r>
      <w:r>
        <w:rPr>
          <w:rFonts w:cs="Times New Roman" w:asciiTheme="minorEastAsia" w:hAnsiTheme="minorEastAsia"/>
          <w:kern w:val="0"/>
          <w:sz w:val="24"/>
          <w:szCs w:val="24"/>
        </w:rPr>
        <w:t>采购活动的，</w:t>
      </w:r>
      <w:r>
        <w:rPr>
          <w:rFonts w:hint="eastAsia" w:cs="Times New Roman" w:asciiTheme="minorEastAsia" w:hAnsiTheme="minorEastAsia"/>
          <w:kern w:val="0"/>
          <w:sz w:val="24"/>
          <w:szCs w:val="24"/>
        </w:rPr>
        <w:t>质疑处理机构可以报请上级采购管理部门作出处罚。</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（十一）</w:t>
      </w:r>
      <w:r>
        <w:rPr>
          <w:rFonts w:cs="Times New Roman" w:asciiTheme="minorEastAsia" w:hAnsiTheme="minorEastAsia"/>
          <w:kern w:val="0"/>
          <w:sz w:val="24"/>
          <w:szCs w:val="24"/>
        </w:rPr>
        <w:t>对</w:t>
      </w:r>
      <w:r>
        <w:rPr>
          <w:rFonts w:hint="eastAsia" w:cs="Times New Roman" w:asciiTheme="minorEastAsia" w:hAnsiTheme="minorEastAsia"/>
          <w:kern w:val="0"/>
          <w:sz w:val="24"/>
          <w:szCs w:val="24"/>
        </w:rPr>
        <w:t>质疑处理机构</w:t>
      </w:r>
      <w:r>
        <w:rPr>
          <w:rFonts w:cs="Times New Roman" w:asciiTheme="minorEastAsia" w:hAnsiTheme="minorEastAsia"/>
          <w:kern w:val="0"/>
          <w:sz w:val="24"/>
          <w:szCs w:val="24"/>
        </w:rPr>
        <w:t>的书面答复及处理结果不满意，</w:t>
      </w:r>
      <w:r>
        <w:rPr>
          <w:rFonts w:hint="eastAsia" w:cs="Times New Roman" w:asciiTheme="minorEastAsia" w:hAnsiTheme="minorEastAsia"/>
          <w:kern w:val="0"/>
          <w:sz w:val="24"/>
          <w:szCs w:val="24"/>
        </w:rPr>
        <w:t>或者质疑处理机构未答复以及未在规定期限内作出答复的，</w:t>
      </w:r>
      <w:r>
        <w:rPr>
          <w:rFonts w:cs="Times New Roman" w:asciiTheme="minorEastAsia" w:hAnsiTheme="minorEastAsia"/>
          <w:kern w:val="0"/>
          <w:sz w:val="24"/>
          <w:szCs w:val="24"/>
        </w:rPr>
        <w:t>质疑人可以在</w:t>
      </w:r>
      <w:r>
        <w:rPr>
          <w:rFonts w:hint="eastAsia" w:cs="Times New Roman" w:asciiTheme="minorEastAsia" w:hAnsiTheme="minorEastAsia"/>
          <w:kern w:val="0"/>
          <w:sz w:val="24"/>
          <w:szCs w:val="24"/>
        </w:rPr>
        <w:t>质疑</w:t>
      </w:r>
      <w:r>
        <w:rPr>
          <w:rFonts w:cs="Times New Roman" w:asciiTheme="minorEastAsia" w:hAnsiTheme="minorEastAsia"/>
          <w:kern w:val="0"/>
          <w:sz w:val="24"/>
          <w:szCs w:val="24"/>
        </w:rPr>
        <w:t>答复</w:t>
      </w:r>
      <w:r>
        <w:rPr>
          <w:rFonts w:hint="eastAsia" w:cs="Times New Roman" w:asciiTheme="minorEastAsia" w:hAnsiTheme="minorEastAsia"/>
          <w:kern w:val="0"/>
          <w:sz w:val="24"/>
          <w:szCs w:val="24"/>
        </w:rPr>
        <w:t>期满</w:t>
      </w:r>
      <w:r>
        <w:rPr>
          <w:rFonts w:cs="Times New Roman" w:asciiTheme="minorEastAsia" w:hAnsiTheme="minorEastAsia"/>
          <w:kern w:val="0"/>
          <w:sz w:val="24"/>
          <w:szCs w:val="24"/>
        </w:rPr>
        <w:t>之日起</w:t>
      </w:r>
      <w:r>
        <w:rPr>
          <w:rFonts w:hint="eastAsia" w:cs="Times New Roman" w:asciiTheme="minorEastAsia" w:hAnsiTheme="minorEastAsia"/>
          <w:kern w:val="0"/>
          <w:sz w:val="24"/>
          <w:szCs w:val="24"/>
        </w:rPr>
        <w:t>15</w:t>
      </w:r>
      <w:r>
        <w:rPr>
          <w:rFonts w:cs="Times New Roman" w:asciiTheme="minorEastAsia" w:hAnsiTheme="minorEastAsia"/>
          <w:kern w:val="0"/>
          <w:sz w:val="24"/>
          <w:szCs w:val="24"/>
        </w:rPr>
        <w:t>个工作日内，向</w:t>
      </w:r>
      <w:r>
        <w:rPr>
          <w:rFonts w:hint="eastAsia" w:cs="Times New Roman" w:asciiTheme="minorEastAsia" w:hAnsiTheme="minorEastAsia"/>
          <w:kern w:val="0"/>
          <w:sz w:val="24"/>
          <w:szCs w:val="24"/>
        </w:rPr>
        <w:t>招标单位纪检监察部门</w:t>
      </w:r>
      <w:r>
        <w:rPr>
          <w:rFonts w:cs="Times New Roman" w:asciiTheme="minorEastAsia" w:hAnsiTheme="minorEastAsia"/>
          <w:kern w:val="0"/>
          <w:sz w:val="24"/>
          <w:szCs w:val="24"/>
        </w:rPr>
        <w:t>提出投诉。</w:t>
      </w:r>
    </w:p>
    <w:p>
      <w:pPr>
        <w:spacing w:line="360" w:lineRule="auto"/>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七、定标</w:t>
      </w:r>
    </w:p>
    <w:p>
      <w:pPr>
        <w:spacing w:line="360" w:lineRule="auto"/>
        <w:jc w:val="center"/>
        <w:rPr>
          <w:rFonts w:ascii="Times New Roman" w:hAnsi="Times New Roman" w:eastAsia="黑体" w:cs="Times New Roman"/>
          <w:kern w:val="0"/>
          <w:sz w:val="28"/>
          <w:szCs w:val="28"/>
        </w:rPr>
      </w:pP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（一）</w:t>
      </w:r>
      <w:r>
        <w:rPr>
          <w:rFonts w:cs="Times New Roman" w:asciiTheme="minorEastAsia" w:hAnsiTheme="minorEastAsia"/>
          <w:kern w:val="0"/>
          <w:sz w:val="24"/>
          <w:szCs w:val="24"/>
        </w:rPr>
        <w:t>确定</w:t>
      </w:r>
      <w:r>
        <w:rPr>
          <w:rFonts w:hint="eastAsia" w:cs="Times New Roman" w:asciiTheme="minorEastAsia" w:hAnsiTheme="minorEastAsia"/>
          <w:kern w:val="0"/>
          <w:sz w:val="24"/>
          <w:szCs w:val="24"/>
        </w:rPr>
        <w:t>成交人</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评审结束后3个工作日内，采购人根据评审委员会提出的书面评标报告，在安徽省旅游集团网上公示评审结果，公示期为3个工作日。在公示期内无异议的，确定排名第一的供应商为招标项目成交人，对按中标比例确定成交人的采购项目，根据谈判文件确定的成交人数量，按照评审排序依次确定2家以上供应商为成交人；公示期内有异议的，按照本须知“质疑与投诉”规定的程序处理。</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排名第一的预成交人有正当理由放弃中标（无正当理由放弃中标的，不予退还谈判保证金；情节严重的，限制后期参与我单位投标资格），或者因不可抗力不能履行合同，或者被查实存在影响评审结果等违法情形、不符合中标条件的，采购人可以按照评审排序结果依次确定其他预成交人为成交人，也可以重新招标。</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2.采购人有权根据采购任务变更等实际情况调整中标数量。</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（二）中标</w:t>
      </w:r>
      <w:r>
        <w:rPr>
          <w:rFonts w:cs="Times New Roman" w:asciiTheme="minorEastAsia" w:hAnsiTheme="minorEastAsia"/>
          <w:kern w:val="0"/>
          <w:sz w:val="24"/>
          <w:szCs w:val="24"/>
        </w:rPr>
        <w:t>通知</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1.采购人在确定成交人后3个工作日内，以书面形式向成交人发出《中标通知书》，不再向未成交人发出《未中标通知书》。</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2.《中标通知书》是签订合同草案的依据。若合同草案未获批准，采购人有权取消合同草案。</w:t>
      </w:r>
      <w:r>
        <w:rPr>
          <w:rFonts w:cs="Times New Roman" w:asciiTheme="minorEastAsia" w:hAnsiTheme="minorEastAsia"/>
          <w:kern w:val="0"/>
          <w:sz w:val="24"/>
          <w:szCs w:val="24"/>
        </w:rPr>
        <w:t>《</w:t>
      </w:r>
      <w:r>
        <w:rPr>
          <w:rFonts w:hint="eastAsia" w:cs="Times New Roman" w:asciiTheme="minorEastAsia" w:hAnsiTheme="minorEastAsia"/>
          <w:kern w:val="0"/>
          <w:sz w:val="24"/>
          <w:szCs w:val="24"/>
        </w:rPr>
        <w:t>中标</w:t>
      </w:r>
      <w:r>
        <w:rPr>
          <w:rFonts w:cs="Times New Roman" w:asciiTheme="minorEastAsia" w:hAnsiTheme="minorEastAsia"/>
          <w:kern w:val="0"/>
          <w:sz w:val="24"/>
          <w:szCs w:val="24"/>
        </w:rPr>
        <w:t>通知书》</w:t>
      </w:r>
      <w:r>
        <w:rPr>
          <w:rFonts w:hint="eastAsia" w:cs="Times New Roman" w:asciiTheme="minorEastAsia" w:hAnsiTheme="minorEastAsia"/>
          <w:kern w:val="0"/>
          <w:sz w:val="24"/>
          <w:szCs w:val="24"/>
        </w:rPr>
        <w:t>及签订的合同草案不能作为成交人启动生产或备货的依据，应待正式合同签订后再启动生产备货，否则，由此造成的后果由成交人自行承担。</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（三）中标服务费</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1.成交人须在与采购人签定正式合同前，向采购代理机构交纳中标服务费及</w:t>
      </w:r>
      <w:r>
        <w:rPr>
          <w:rFonts w:cs="Times New Roman" w:asciiTheme="minorEastAsia" w:hAnsiTheme="minorEastAsia"/>
          <w:kern w:val="0"/>
          <w:sz w:val="24"/>
          <w:szCs w:val="24"/>
        </w:rPr>
        <w:t>评审费用</w:t>
      </w:r>
      <w:r>
        <w:rPr>
          <w:rFonts w:hint="eastAsia" w:cs="Times New Roman" w:asciiTheme="minorEastAsia" w:hAnsiTheme="minorEastAsia"/>
          <w:kern w:val="0"/>
          <w:sz w:val="24"/>
          <w:szCs w:val="24"/>
        </w:rPr>
        <w:t>。</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2.中标服务费收取标准：按照原国家计委计价格[2002]1980号文规定收费标准收取。评审</w:t>
      </w:r>
      <w:r>
        <w:rPr>
          <w:rFonts w:cs="Times New Roman" w:asciiTheme="minorEastAsia" w:hAnsiTheme="minorEastAsia"/>
          <w:kern w:val="0"/>
          <w:sz w:val="24"/>
          <w:szCs w:val="24"/>
        </w:rPr>
        <w:t>费用按实际发生费用支付。</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3.中标服务费只能以银行转账方式支付。</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4.成交人未按上述规定缴纳中标服务费的，采购人将不予退还谈判保证金，且采购人有权取消其中标资格和拒签合同。</w:t>
      </w:r>
    </w:p>
    <w:p>
      <w:pPr>
        <w:spacing w:line="360" w:lineRule="auto"/>
        <w:ind w:firstLine="640" w:firstLineChars="200"/>
        <w:rPr>
          <w:rFonts w:ascii="仿宋_GB2312" w:hAnsi="宋体" w:eastAsia="仿宋_GB2312" w:cs="Times New Roman"/>
          <w:kern w:val="0"/>
          <w:sz w:val="32"/>
          <w:szCs w:val="32"/>
        </w:rPr>
        <w:sectPr>
          <w:pgSz w:w="11906" w:h="16838"/>
          <w:pgMar w:top="1440" w:right="1440" w:bottom="1440" w:left="1440" w:header="851" w:footer="992" w:gutter="0"/>
          <w:cols w:space="425" w:num="1"/>
          <w:docGrid w:linePitch="579" w:charSpace="-1844"/>
        </w:sectPr>
      </w:pPr>
    </w:p>
    <w:p>
      <w:pPr>
        <w:spacing w:line="360" w:lineRule="auto"/>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八、签订</w:t>
      </w:r>
      <w:r>
        <w:rPr>
          <w:rFonts w:cs="Times New Roman" w:asciiTheme="minorEastAsia" w:hAnsiTheme="minorEastAsia"/>
          <w:b/>
          <w:kern w:val="0"/>
          <w:sz w:val="28"/>
          <w:szCs w:val="28"/>
        </w:rPr>
        <w:t>合同</w:t>
      </w:r>
    </w:p>
    <w:p>
      <w:pPr>
        <w:spacing w:line="360" w:lineRule="auto"/>
        <w:jc w:val="center"/>
        <w:rPr>
          <w:rFonts w:ascii="Times New Roman" w:hAnsi="Times New Roman" w:eastAsia="黑体" w:cs="Times New Roman"/>
          <w:kern w:val="0"/>
          <w:sz w:val="32"/>
          <w:szCs w:val="32"/>
        </w:rPr>
      </w:pPr>
    </w:p>
    <w:p>
      <w:pPr>
        <w:spacing w:line="360" w:lineRule="auto"/>
        <w:ind w:firstLine="480" w:firstLineChars="200"/>
        <w:rPr>
          <w:rFonts w:cs="Times New Roman" w:asciiTheme="minorEastAsia" w:hAnsiTheme="minorEastAsia"/>
          <w:kern w:val="0"/>
          <w:sz w:val="24"/>
          <w:szCs w:val="24"/>
        </w:rPr>
      </w:pPr>
      <w:r>
        <w:rPr>
          <w:rFonts w:cs="Times New Roman" w:asciiTheme="minorEastAsia" w:hAnsiTheme="minorEastAsia"/>
          <w:kern w:val="0"/>
          <w:sz w:val="24"/>
          <w:szCs w:val="24"/>
        </w:rPr>
        <w:t>（一）</w:t>
      </w:r>
      <w:r>
        <w:rPr>
          <w:rFonts w:hint="eastAsia" w:cs="Times New Roman" w:asciiTheme="minorEastAsia" w:hAnsiTheme="minorEastAsia"/>
          <w:kern w:val="0"/>
          <w:sz w:val="24"/>
          <w:szCs w:val="24"/>
        </w:rPr>
        <w:t>成交人在采购人发出《中标通知书》之日起10个工作日内，按照采购人规定的时间、地点签订合同草案，合同草案经批准后签订正式合同。未经采购人同意逾期不签订合同的，将取消成交人中标资格。</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（二）谈判文件、成交人的响应文件、补充响应文件、澄清承诺、说明、补正和《中标通知书》等，均为签订合同的依据。</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（三）所签订的合同不得对谈判文件和成交人响应文件作实质性修改。</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（四）成交人应当按照合同约定履行义务，完成中标项目。成交人不得向他人转让中标项目，也不得将中标项目分包向他人转让或委托加工。</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（五）本次招标不收取合同履约保证金。</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六）受到禁止参加我单位采购活动处罚的供应商，起始时间自有关机关批准之日起计算。处罚起始时间之前，经有关机关批准签订的正式采购合同，可以继续执行。自处罚起始之日起，采购机构发给相关供应商的中标通知书及签订的合同草案自动失效。</w:t>
      </w:r>
    </w:p>
    <w:p>
      <w:pPr>
        <w:spacing w:line="360" w:lineRule="auto"/>
        <w:jc w:val="center"/>
        <w:rPr>
          <w:rFonts w:cs="Times New Roman" w:asciiTheme="minorEastAsia" w:hAnsiTheme="minorEastAsia"/>
          <w:b/>
          <w:kern w:val="0"/>
          <w:sz w:val="28"/>
          <w:szCs w:val="28"/>
        </w:rPr>
      </w:pPr>
      <w:bookmarkStart w:id="21" w:name="_Toc285612603"/>
      <w:bookmarkStart w:id="22" w:name="_Toc435540981"/>
      <w:bookmarkStart w:id="23" w:name="_Toc390713969"/>
    </w:p>
    <w:p>
      <w:pPr>
        <w:spacing w:line="360" w:lineRule="auto"/>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九、</w:t>
      </w:r>
      <w:r>
        <w:rPr>
          <w:rFonts w:cs="Times New Roman" w:asciiTheme="minorEastAsia" w:hAnsiTheme="minorEastAsia"/>
          <w:b/>
          <w:kern w:val="0"/>
          <w:sz w:val="28"/>
          <w:szCs w:val="28"/>
        </w:rPr>
        <w:t>产品</w:t>
      </w:r>
      <w:r>
        <w:rPr>
          <w:rFonts w:hint="eastAsia" w:cs="Times New Roman" w:asciiTheme="minorEastAsia" w:hAnsiTheme="minorEastAsia"/>
          <w:b/>
          <w:kern w:val="0"/>
          <w:sz w:val="28"/>
          <w:szCs w:val="28"/>
        </w:rPr>
        <w:t>质量</w:t>
      </w:r>
      <w:r>
        <w:rPr>
          <w:rFonts w:cs="Times New Roman" w:asciiTheme="minorEastAsia" w:hAnsiTheme="minorEastAsia"/>
          <w:b/>
          <w:kern w:val="0"/>
          <w:sz w:val="28"/>
          <w:szCs w:val="28"/>
        </w:rPr>
        <w:t>检验验收</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（一）成交人未生产过</w:t>
      </w:r>
      <w:r>
        <w:rPr>
          <w:rFonts w:cs="Times New Roman" w:asciiTheme="minorEastAsia" w:hAnsiTheme="minorEastAsia"/>
          <w:kern w:val="0"/>
          <w:sz w:val="24"/>
          <w:szCs w:val="24"/>
        </w:rPr>
        <w:t>的产品，</w:t>
      </w:r>
      <w:r>
        <w:rPr>
          <w:rFonts w:hint="eastAsia" w:cs="Times New Roman" w:asciiTheme="minorEastAsia" w:hAnsiTheme="minorEastAsia"/>
          <w:kern w:val="0"/>
          <w:sz w:val="24"/>
          <w:szCs w:val="24"/>
        </w:rPr>
        <w:t>应当</w:t>
      </w:r>
      <w:r>
        <w:rPr>
          <w:rFonts w:cs="Times New Roman" w:asciiTheme="minorEastAsia" w:hAnsiTheme="minorEastAsia"/>
          <w:kern w:val="0"/>
          <w:sz w:val="24"/>
          <w:szCs w:val="24"/>
        </w:rPr>
        <w:t>进行首</w:t>
      </w:r>
      <w:r>
        <w:rPr>
          <w:rFonts w:hint="eastAsia" w:cs="Times New Roman" w:asciiTheme="minorEastAsia" w:hAnsiTheme="minorEastAsia"/>
          <w:kern w:val="0"/>
          <w:sz w:val="24"/>
          <w:szCs w:val="24"/>
        </w:rPr>
        <w:t>件或首</w:t>
      </w:r>
      <w:r>
        <w:rPr>
          <w:rFonts w:cs="Times New Roman" w:asciiTheme="minorEastAsia" w:hAnsiTheme="minorEastAsia"/>
          <w:kern w:val="0"/>
          <w:sz w:val="24"/>
          <w:szCs w:val="24"/>
        </w:rPr>
        <w:t>批产品质量检验</w:t>
      </w:r>
      <w:r>
        <w:rPr>
          <w:rFonts w:hint="eastAsia" w:cs="Times New Roman" w:asciiTheme="minorEastAsia" w:hAnsiTheme="minorEastAsia"/>
          <w:kern w:val="0"/>
          <w:sz w:val="24"/>
          <w:szCs w:val="24"/>
        </w:rPr>
        <w:t>，即为首检</w:t>
      </w:r>
      <w:r>
        <w:rPr>
          <w:rFonts w:cs="Times New Roman" w:asciiTheme="minorEastAsia" w:hAnsiTheme="minorEastAsia"/>
          <w:kern w:val="0"/>
          <w:sz w:val="24"/>
          <w:szCs w:val="24"/>
        </w:rPr>
        <w:t>。通过</w:t>
      </w:r>
      <w:r>
        <w:rPr>
          <w:rFonts w:hint="eastAsia" w:cs="Times New Roman" w:asciiTheme="minorEastAsia" w:hAnsiTheme="minorEastAsia"/>
          <w:kern w:val="0"/>
          <w:sz w:val="24"/>
          <w:szCs w:val="24"/>
        </w:rPr>
        <w:t>首检</w:t>
      </w:r>
      <w:r>
        <w:rPr>
          <w:rFonts w:cs="Times New Roman" w:asciiTheme="minorEastAsia" w:hAnsiTheme="minorEastAsia"/>
          <w:kern w:val="0"/>
          <w:sz w:val="24"/>
          <w:szCs w:val="24"/>
        </w:rPr>
        <w:t>的产品，方可投入批量生产</w:t>
      </w:r>
      <w:r>
        <w:rPr>
          <w:rFonts w:hint="eastAsia" w:cs="Times New Roman" w:asciiTheme="minorEastAsia" w:hAnsiTheme="minorEastAsia"/>
          <w:kern w:val="0"/>
          <w:sz w:val="24"/>
          <w:szCs w:val="24"/>
        </w:rPr>
        <w:t>，应预付货款的办理预付款</w:t>
      </w:r>
      <w:r>
        <w:rPr>
          <w:rFonts w:cs="Times New Roman" w:asciiTheme="minorEastAsia" w:hAnsiTheme="minorEastAsia"/>
          <w:kern w:val="0"/>
          <w:sz w:val="24"/>
          <w:szCs w:val="24"/>
        </w:rPr>
        <w:t>；未通过</w:t>
      </w:r>
      <w:r>
        <w:rPr>
          <w:rFonts w:hint="eastAsia" w:cs="Times New Roman" w:asciiTheme="minorEastAsia" w:hAnsiTheme="minorEastAsia"/>
          <w:kern w:val="0"/>
          <w:sz w:val="24"/>
          <w:szCs w:val="24"/>
        </w:rPr>
        <w:t>首检</w:t>
      </w:r>
      <w:r>
        <w:rPr>
          <w:rFonts w:cs="Times New Roman" w:asciiTheme="minorEastAsia" w:hAnsiTheme="minorEastAsia"/>
          <w:kern w:val="0"/>
          <w:sz w:val="24"/>
          <w:szCs w:val="24"/>
        </w:rPr>
        <w:t>的，</w:t>
      </w:r>
      <w:r>
        <w:rPr>
          <w:rFonts w:hint="eastAsia" w:cs="Times New Roman" w:asciiTheme="minorEastAsia" w:hAnsiTheme="minorEastAsia"/>
          <w:kern w:val="0"/>
          <w:sz w:val="24"/>
          <w:szCs w:val="24"/>
        </w:rPr>
        <w:t>合同甲方</w:t>
      </w:r>
      <w:r>
        <w:rPr>
          <w:rFonts w:cs="Times New Roman" w:asciiTheme="minorEastAsia" w:hAnsiTheme="minorEastAsia"/>
          <w:kern w:val="0"/>
          <w:sz w:val="24"/>
          <w:szCs w:val="24"/>
        </w:rPr>
        <w:t>将书面通知</w:t>
      </w:r>
      <w:r>
        <w:rPr>
          <w:rFonts w:hint="eastAsia" w:cs="Times New Roman" w:asciiTheme="minorEastAsia" w:hAnsiTheme="minorEastAsia"/>
          <w:kern w:val="0"/>
          <w:sz w:val="24"/>
          <w:szCs w:val="24"/>
        </w:rPr>
        <w:t>成交人</w:t>
      </w:r>
      <w:r>
        <w:rPr>
          <w:rFonts w:cs="Times New Roman" w:asciiTheme="minorEastAsia" w:hAnsiTheme="minorEastAsia"/>
          <w:kern w:val="0"/>
          <w:sz w:val="24"/>
          <w:szCs w:val="24"/>
        </w:rPr>
        <w:t>限期整改，整改后进行第二次检验，检验合格后方可投入批量生产。第二次检验仍未通过的，</w:t>
      </w:r>
      <w:r>
        <w:rPr>
          <w:rFonts w:hint="eastAsia" w:cs="Times New Roman" w:asciiTheme="minorEastAsia" w:hAnsiTheme="minorEastAsia"/>
          <w:kern w:val="0"/>
          <w:sz w:val="24"/>
          <w:szCs w:val="24"/>
        </w:rPr>
        <w:t>合同甲方</w:t>
      </w:r>
      <w:r>
        <w:rPr>
          <w:rFonts w:cs="Times New Roman" w:asciiTheme="minorEastAsia" w:hAnsiTheme="minorEastAsia"/>
          <w:kern w:val="0"/>
          <w:sz w:val="24"/>
          <w:szCs w:val="24"/>
        </w:rPr>
        <w:t>不预付货款，并有权取消采购合同</w:t>
      </w:r>
      <w:r>
        <w:rPr>
          <w:rFonts w:hint="eastAsia" w:cs="Times New Roman" w:asciiTheme="minorEastAsia" w:hAnsiTheme="minorEastAsia"/>
          <w:kern w:val="0"/>
          <w:sz w:val="24"/>
          <w:szCs w:val="24"/>
        </w:rPr>
        <w:t>，</w:t>
      </w:r>
      <w:r>
        <w:rPr>
          <w:rFonts w:cs="Times New Roman" w:asciiTheme="minorEastAsia" w:hAnsiTheme="minorEastAsia"/>
          <w:kern w:val="0"/>
          <w:sz w:val="24"/>
          <w:szCs w:val="24"/>
        </w:rPr>
        <w:t>由此造成的损失，由</w:t>
      </w:r>
      <w:r>
        <w:rPr>
          <w:rFonts w:hint="eastAsia" w:cs="Times New Roman" w:asciiTheme="minorEastAsia" w:hAnsiTheme="minorEastAsia"/>
          <w:kern w:val="0"/>
          <w:sz w:val="24"/>
          <w:szCs w:val="24"/>
        </w:rPr>
        <w:t>成交人</w:t>
      </w:r>
      <w:r>
        <w:rPr>
          <w:rFonts w:cs="Times New Roman" w:asciiTheme="minorEastAsia" w:hAnsiTheme="minorEastAsia"/>
          <w:kern w:val="0"/>
          <w:sz w:val="24"/>
          <w:szCs w:val="24"/>
        </w:rPr>
        <w:t>承担。按照采购合同应当进行首检，</w:t>
      </w:r>
      <w:r>
        <w:rPr>
          <w:rFonts w:hint="eastAsia" w:cs="Times New Roman" w:asciiTheme="minorEastAsia" w:hAnsiTheme="minorEastAsia"/>
          <w:kern w:val="0"/>
          <w:sz w:val="24"/>
          <w:szCs w:val="24"/>
        </w:rPr>
        <w:t>成交人</w:t>
      </w:r>
      <w:r>
        <w:rPr>
          <w:rFonts w:cs="Times New Roman" w:asciiTheme="minorEastAsia" w:hAnsiTheme="minorEastAsia"/>
          <w:kern w:val="0"/>
          <w:sz w:val="24"/>
          <w:szCs w:val="24"/>
        </w:rPr>
        <w:t>未申请</w:t>
      </w:r>
      <w:r>
        <w:rPr>
          <w:rFonts w:hint="eastAsia" w:cs="Times New Roman" w:asciiTheme="minorEastAsia" w:hAnsiTheme="minorEastAsia"/>
          <w:kern w:val="0"/>
          <w:sz w:val="24"/>
          <w:szCs w:val="24"/>
        </w:rPr>
        <w:t>首检且</w:t>
      </w:r>
      <w:r>
        <w:rPr>
          <w:rFonts w:cs="Times New Roman" w:asciiTheme="minorEastAsia" w:hAnsiTheme="minorEastAsia"/>
          <w:kern w:val="0"/>
          <w:sz w:val="24"/>
          <w:szCs w:val="24"/>
        </w:rPr>
        <w:t>直接投入批量生产的，或者首检以及二次检验未通过</w:t>
      </w:r>
      <w:r>
        <w:rPr>
          <w:rFonts w:hint="eastAsia" w:cs="Times New Roman" w:asciiTheme="minorEastAsia" w:hAnsiTheme="minorEastAsia"/>
          <w:kern w:val="0"/>
          <w:sz w:val="24"/>
          <w:szCs w:val="24"/>
        </w:rPr>
        <w:t>成交人</w:t>
      </w:r>
      <w:r>
        <w:rPr>
          <w:rFonts w:cs="Times New Roman" w:asciiTheme="minorEastAsia" w:hAnsiTheme="minorEastAsia"/>
          <w:kern w:val="0"/>
          <w:sz w:val="24"/>
          <w:szCs w:val="24"/>
        </w:rPr>
        <w:t>擅自投入批量生产的，</w:t>
      </w:r>
      <w:r>
        <w:rPr>
          <w:rFonts w:hint="eastAsia" w:cs="Times New Roman" w:asciiTheme="minorEastAsia" w:hAnsiTheme="minorEastAsia"/>
          <w:kern w:val="0"/>
          <w:sz w:val="24"/>
          <w:szCs w:val="24"/>
        </w:rPr>
        <w:t>合同甲方</w:t>
      </w:r>
      <w:r>
        <w:rPr>
          <w:rFonts w:cs="Times New Roman" w:asciiTheme="minorEastAsia" w:hAnsiTheme="minorEastAsia"/>
          <w:kern w:val="0"/>
          <w:sz w:val="24"/>
          <w:szCs w:val="24"/>
        </w:rPr>
        <w:t>将取消</w:t>
      </w:r>
      <w:r>
        <w:rPr>
          <w:rFonts w:hint="eastAsia" w:cs="Times New Roman" w:asciiTheme="minorEastAsia" w:hAnsiTheme="minorEastAsia"/>
          <w:kern w:val="0"/>
          <w:sz w:val="24"/>
          <w:szCs w:val="24"/>
        </w:rPr>
        <w:t>或解除</w:t>
      </w:r>
      <w:r>
        <w:rPr>
          <w:rFonts w:cs="Times New Roman" w:asciiTheme="minorEastAsia" w:hAnsiTheme="minorEastAsia"/>
          <w:kern w:val="0"/>
          <w:sz w:val="24"/>
          <w:szCs w:val="24"/>
        </w:rPr>
        <w:t>采购合同</w:t>
      </w:r>
      <w:r>
        <w:rPr>
          <w:rFonts w:hint="eastAsia" w:cs="Times New Roman" w:asciiTheme="minorEastAsia" w:hAnsiTheme="minorEastAsia"/>
          <w:kern w:val="0"/>
          <w:sz w:val="24"/>
          <w:szCs w:val="24"/>
        </w:rPr>
        <w:t>，</w:t>
      </w:r>
      <w:r>
        <w:rPr>
          <w:rFonts w:cs="Times New Roman" w:asciiTheme="minorEastAsia" w:hAnsiTheme="minorEastAsia"/>
          <w:kern w:val="0"/>
          <w:sz w:val="24"/>
          <w:szCs w:val="24"/>
        </w:rPr>
        <w:t>由此造成的损失，由</w:t>
      </w:r>
      <w:r>
        <w:rPr>
          <w:rFonts w:hint="eastAsia" w:cs="Times New Roman" w:asciiTheme="minorEastAsia" w:hAnsiTheme="minorEastAsia"/>
          <w:kern w:val="0"/>
          <w:sz w:val="24"/>
          <w:szCs w:val="24"/>
        </w:rPr>
        <w:t>成交人</w:t>
      </w:r>
      <w:r>
        <w:rPr>
          <w:rFonts w:cs="Times New Roman" w:asciiTheme="minorEastAsia" w:hAnsiTheme="minorEastAsia"/>
          <w:kern w:val="0"/>
          <w:sz w:val="24"/>
          <w:szCs w:val="24"/>
        </w:rPr>
        <w:t>承担。</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（二）产品生产过程中，合同甲方代表可组织质量监督检验，成交人应予以积极配合。</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（三）产品</w:t>
      </w:r>
      <w:r>
        <w:rPr>
          <w:rFonts w:cs="Times New Roman" w:asciiTheme="minorEastAsia" w:hAnsiTheme="minorEastAsia"/>
          <w:kern w:val="0"/>
          <w:sz w:val="24"/>
          <w:szCs w:val="24"/>
        </w:rPr>
        <w:t>出厂前，</w:t>
      </w:r>
      <w:r>
        <w:rPr>
          <w:rFonts w:hint="eastAsia" w:cs="Times New Roman" w:asciiTheme="minorEastAsia" w:hAnsiTheme="minorEastAsia"/>
          <w:kern w:val="0"/>
          <w:sz w:val="24"/>
          <w:szCs w:val="24"/>
        </w:rPr>
        <w:t>成交人应当进行产品自检，自检合格后</w:t>
      </w:r>
      <w:r>
        <w:rPr>
          <w:rFonts w:cs="Times New Roman" w:asciiTheme="minorEastAsia" w:hAnsiTheme="minorEastAsia"/>
          <w:kern w:val="0"/>
          <w:sz w:val="24"/>
          <w:szCs w:val="24"/>
        </w:rPr>
        <w:t>向</w:t>
      </w:r>
      <w:r>
        <w:rPr>
          <w:rFonts w:hint="eastAsia" w:cs="Times New Roman" w:asciiTheme="minorEastAsia" w:hAnsiTheme="minorEastAsia"/>
          <w:kern w:val="0"/>
          <w:sz w:val="24"/>
          <w:szCs w:val="24"/>
        </w:rPr>
        <w:t>合同甲方</w:t>
      </w:r>
      <w:r>
        <w:rPr>
          <w:rFonts w:cs="Times New Roman" w:asciiTheme="minorEastAsia" w:hAnsiTheme="minorEastAsia"/>
          <w:kern w:val="0"/>
          <w:sz w:val="24"/>
          <w:szCs w:val="24"/>
        </w:rPr>
        <w:t>申请出厂验收，验收合格后方可出厂。</w:t>
      </w:r>
    </w:p>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（四）产品</w:t>
      </w:r>
      <w:r>
        <w:rPr>
          <w:rFonts w:cs="Times New Roman" w:asciiTheme="minorEastAsia" w:hAnsiTheme="minorEastAsia"/>
          <w:kern w:val="0"/>
          <w:sz w:val="24"/>
          <w:szCs w:val="24"/>
        </w:rPr>
        <w:t>出厂验收不合格，</w:t>
      </w:r>
      <w:r>
        <w:rPr>
          <w:rFonts w:hint="eastAsia" w:cs="Times New Roman" w:asciiTheme="minorEastAsia" w:hAnsiTheme="minorEastAsia"/>
          <w:kern w:val="0"/>
          <w:sz w:val="24"/>
          <w:szCs w:val="24"/>
        </w:rPr>
        <w:t>合同甲方</w:t>
      </w:r>
      <w:r>
        <w:rPr>
          <w:rFonts w:cs="Times New Roman" w:asciiTheme="minorEastAsia" w:hAnsiTheme="minorEastAsia"/>
          <w:kern w:val="0"/>
          <w:sz w:val="24"/>
          <w:szCs w:val="24"/>
        </w:rPr>
        <w:t>有权拒收货物和</w:t>
      </w:r>
      <w:r>
        <w:rPr>
          <w:rFonts w:hint="eastAsia" w:cs="Times New Roman" w:asciiTheme="minorEastAsia" w:hAnsiTheme="minorEastAsia"/>
          <w:kern w:val="0"/>
          <w:sz w:val="24"/>
          <w:szCs w:val="24"/>
        </w:rPr>
        <w:t>解除</w:t>
      </w:r>
      <w:r>
        <w:rPr>
          <w:rFonts w:cs="Times New Roman" w:asciiTheme="minorEastAsia" w:hAnsiTheme="minorEastAsia"/>
          <w:kern w:val="0"/>
          <w:sz w:val="24"/>
          <w:szCs w:val="24"/>
        </w:rPr>
        <w:t>采购合同，由此造成的损失，由</w:t>
      </w:r>
      <w:r>
        <w:rPr>
          <w:rFonts w:hint="eastAsia" w:cs="Times New Roman" w:asciiTheme="minorEastAsia" w:hAnsiTheme="minorEastAsia"/>
          <w:kern w:val="0"/>
          <w:sz w:val="24"/>
          <w:szCs w:val="24"/>
        </w:rPr>
        <w:t>成交人</w:t>
      </w:r>
      <w:r>
        <w:rPr>
          <w:rFonts w:cs="Times New Roman" w:asciiTheme="minorEastAsia" w:hAnsiTheme="minorEastAsia"/>
          <w:kern w:val="0"/>
          <w:sz w:val="24"/>
          <w:szCs w:val="24"/>
        </w:rPr>
        <w:t>承担。出厂验收</w:t>
      </w:r>
      <w:r>
        <w:rPr>
          <w:rFonts w:hint="eastAsia" w:cs="Times New Roman" w:asciiTheme="minorEastAsia" w:hAnsiTheme="minorEastAsia"/>
          <w:kern w:val="0"/>
          <w:sz w:val="24"/>
          <w:szCs w:val="24"/>
        </w:rPr>
        <w:t>过程中，成交人可有1次整改机会，若第一次检验未通过，合同甲方</w:t>
      </w:r>
      <w:r>
        <w:rPr>
          <w:rFonts w:cs="Times New Roman" w:asciiTheme="minorEastAsia" w:hAnsiTheme="minorEastAsia"/>
          <w:kern w:val="0"/>
          <w:sz w:val="24"/>
          <w:szCs w:val="24"/>
        </w:rPr>
        <w:t>将书面通知</w:t>
      </w:r>
      <w:r>
        <w:rPr>
          <w:rFonts w:hint="eastAsia" w:cs="Times New Roman" w:asciiTheme="minorEastAsia" w:hAnsiTheme="minorEastAsia"/>
          <w:kern w:val="0"/>
          <w:sz w:val="24"/>
          <w:szCs w:val="24"/>
        </w:rPr>
        <w:t>成交供应商</w:t>
      </w:r>
      <w:r>
        <w:rPr>
          <w:rFonts w:cs="Times New Roman" w:asciiTheme="minorEastAsia" w:hAnsiTheme="minorEastAsia"/>
          <w:kern w:val="0"/>
          <w:sz w:val="24"/>
          <w:szCs w:val="24"/>
        </w:rPr>
        <w:t>限期整改，整改后进行第二次检验，检验合格后方可</w:t>
      </w:r>
      <w:r>
        <w:rPr>
          <w:rFonts w:hint="eastAsia" w:cs="Times New Roman" w:asciiTheme="minorEastAsia" w:hAnsiTheme="minorEastAsia"/>
          <w:kern w:val="0"/>
          <w:sz w:val="24"/>
          <w:szCs w:val="24"/>
        </w:rPr>
        <w:t>出厂</w:t>
      </w:r>
      <w:r>
        <w:rPr>
          <w:rFonts w:cs="Times New Roman" w:asciiTheme="minorEastAsia" w:hAnsiTheme="minorEastAsia"/>
          <w:kern w:val="0"/>
          <w:sz w:val="24"/>
          <w:szCs w:val="24"/>
        </w:rPr>
        <w:t>。</w:t>
      </w:r>
      <w:r>
        <w:rPr>
          <w:rFonts w:hint="eastAsia" w:cs="Times New Roman" w:asciiTheme="minorEastAsia" w:hAnsiTheme="minorEastAsia"/>
          <w:kern w:val="0"/>
          <w:sz w:val="24"/>
          <w:szCs w:val="24"/>
        </w:rPr>
        <w:t>若</w:t>
      </w:r>
      <w:r>
        <w:rPr>
          <w:rFonts w:cs="Times New Roman" w:asciiTheme="minorEastAsia" w:hAnsiTheme="minorEastAsia"/>
          <w:kern w:val="0"/>
          <w:sz w:val="24"/>
          <w:szCs w:val="24"/>
        </w:rPr>
        <w:t>第二次检验仍未通过的，</w:t>
      </w:r>
      <w:r>
        <w:rPr>
          <w:rFonts w:hint="eastAsia" w:cs="Times New Roman" w:asciiTheme="minorEastAsia" w:hAnsiTheme="minorEastAsia"/>
          <w:kern w:val="0"/>
          <w:sz w:val="24"/>
          <w:szCs w:val="24"/>
        </w:rPr>
        <w:t>合同甲方</w:t>
      </w:r>
      <w:r>
        <w:rPr>
          <w:rFonts w:cs="Times New Roman" w:asciiTheme="minorEastAsia" w:hAnsiTheme="minorEastAsia"/>
          <w:kern w:val="0"/>
          <w:sz w:val="24"/>
          <w:szCs w:val="24"/>
        </w:rPr>
        <w:t>有权取消</w:t>
      </w:r>
      <w:r>
        <w:rPr>
          <w:rFonts w:hint="eastAsia" w:cs="Times New Roman" w:asciiTheme="minorEastAsia" w:hAnsiTheme="minorEastAsia"/>
          <w:kern w:val="0"/>
          <w:sz w:val="24"/>
          <w:szCs w:val="24"/>
        </w:rPr>
        <w:t>或解除</w:t>
      </w:r>
      <w:r>
        <w:rPr>
          <w:rFonts w:cs="Times New Roman" w:asciiTheme="minorEastAsia" w:hAnsiTheme="minorEastAsia"/>
          <w:kern w:val="0"/>
          <w:sz w:val="24"/>
          <w:szCs w:val="24"/>
        </w:rPr>
        <w:t>采购合同</w:t>
      </w:r>
      <w:r>
        <w:rPr>
          <w:rFonts w:hint="eastAsia" w:cs="Times New Roman" w:asciiTheme="minorEastAsia" w:hAnsiTheme="minorEastAsia"/>
          <w:kern w:val="0"/>
          <w:sz w:val="24"/>
          <w:szCs w:val="24"/>
        </w:rPr>
        <w:t>，</w:t>
      </w:r>
      <w:r>
        <w:rPr>
          <w:rFonts w:cs="Times New Roman" w:asciiTheme="minorEastAsia" w:hAnsiTheme="minorEastAsia"/>
          <w:kern w:val="0"/>
          <w:sz w:val="24"/>
          <w:szCs w:val="24"/>
        </w:rPr>
        <w:t>由此造成的损失，由</w:t>
      </w:r>
      <w:r>
        <w:rPr>
          <w:rFonts w:hint="eastAsia" w:cs="Times New Roman" w:asciiTheme="minorEastAsia" w:hAnsiTheme="minorEastAsia"/>
          <w:kern w:val="0"/>
          <w:sz w:val="24"/>
          <w:szCs w:val="24"/>
        </w:rPr>
        <w:t>成交人</w:t>
      </w:r>
      <w:r>
        <w:rPr>
          <w:rFonts w:cs="Times New Roman" w:asciiTheme="minorEastAsia" w:hAnsiTheme="minorEastAsia"/>
          <w:kern w:val="0"/>
          <w:sz w:val="24"/>
          <w:szCs w:val="24"/>
        </w:rPr>
        <w:t>承担。</w:t>
      </w:r>
    </w:p>
    <w:p>
      <w:pPr>
        <w:spacing w:line="360" w:lineRule="auto"/>
        <w:ind w:firstLine="480" w:firstLineChars="200"/>
        <w:rPr>
          <w:rFonts w:cs="Times New Roman" w:asciiTheme="minorEastAsia" w:hAnsiTheme="minorEastAsia"/>
          <w:kern w:val="0"/>
          <w:sz w:val="24"/>
          <w:szCs w:val="24"/>
        </w:rPr>
      </w:pPr>
    </w:p>
    <w:p>
      <w:pPr>
        <w:spacing w:line="360" w:lineRule="auto"/>
        <w:jc w:val="center"/>
        <w:rPr>
          <w:rFonts w:cs="Times New Roman" w:asciiTheme="minorEastAsia" w:hAnsiTheme="minorEastAsia"/>
          <w:b/>
          <w:kern w:val="0"/>
          <w:sz w:val="28"/>
          <w:szCs w:val="28"/>
        </w:rPr>
      </w:pPr>
      <w:r>
        <w:rPr>
          <w:rFonts w:hint="eastAsia" w:cs="Times New Roman" w:asciiTheme="minorEastAsia" w:hAnsiTheme="minorEastAsia"/>
          <w:b/>
          <w:kern w:val="0"/>
          <w:sz w:val="28"/>
          <w:szCs w:val="28"/>
        </w:rPr>
        <w:t>十、</w:t>
      </w:r>
      <w:r>
        <w:rPr>
          <w:rFonts w:cs="Times New Roman" w:asciiTheme="minorEastAsia" w:hAnsiTheme="minorEastAsia"/>
          <w:b/>
          <w:kern w:val="0"/>
          <w:sz w:val="28"/>
          <w:szCs w:val="28"/>
        </w:rPr>
        <w:t>解释权限</w:t>
      </w:r>
    </w:p>
    <w:p>
      <w:pPr>
        <w:spacing w:line="360" w:lineRule="auto"/>
        <w:ind w:firstLine="480" w:firstLineChars="200"/>
        <w:rPr>
          <w:rFonts w:cs="Times New Roman" w:asciiTheme="minorEastAsia" w:hAnsiTheme="minorEastAsia"/>
          <w:kern w:val="0"/>
          <w:sz w:val="24"/>
          <w:szCs w:val="24"/>
        </w:rPr>
      </w:pPr>
    </w:p>
    <w:p>
      <w:pPr>
        <w:spacing w:line="360" w:lineRule="auto"/>
        <w:ind w:firstLine="480" w:firstLineChars="200"/>
        <w:rPr>
          <w:rFonts w:cs="Times New Roman" w:asciiTheme="minorEastAsia" w:hAnsiTheme="minorEastAsia"/>
          <w:kern w:val="0"/>
          <w:sz w:val="24"/>
          <w:szCs w:val="24"/>
        </w:rPr>
        <w:sectPr>
          <w:headerReference r:id="rId6" w:type="default"/>
          <w:pgSz w:w="11906" w:h="16838"/>
          <w:pgMar w:top="1440" w:right="1440" w:bottom="1440" w:left="1440" w:header="851" w:footer="992" w:gutter="0"/>
          <w:cols w:space="425" w:num="1"/>
          <w:docGrid w:linePitch="579" w:charSpace="-1844"/>
        </w:sectPr>
      </w:pPr>
      <w:r>
        <w:rPr>
          <w:rFonts w:cs="Times New Roman" w:asciiTheme="minorEastAsia" w:hAnsiTheme="minorEastAsia"/>
          <w:kern w:val="0"/>
          <w:sz w:val="24"/>
          <w:szCs w:val="24"/>
        </w:rPr>
        <w:t>本</w:t>
      </w:r>
      <w:r>
        <w:rPr>
          <w:rFonts w:hint="eastAsia" w:cs="Times New Roman" w:asciiTheme="minorEastAsia" w:hAnsiTheme="minorEastAsia"/>
          <w:kern w:val="0"/>
          <w:sz w:val="24"/>
          <w:szCs w:val="24"/>
        </w:rPr>
        <w:t>谈判文件</w:t>
      </w:r>
      <w:r>
        <w:rPr>
          <w:rFonts w:cs="Times New Roman" w:asciiTheme="minorEastAsia" w:hAnsiTheme="minorEastAsia"/>
          <w:kern w:val="0"/>
          <w:sz w:val="24"/>
          <w:szCs w:val="24"/>
        </w:rPr>
        <w:t>由</w:t>
      </w:r>
      <w:r>
        <w:rPr>
          <w:rFonts w:hint="eastAsia" w:cs="Times New Roman" w:asciiTheme="minorEastAsia" w:hAnsiTheme="minorEastAsia"/>
          <w:kern w:val="0"/>
          <w:sz w:val="24"/>
          <w:szCs w:val="24"/>
        </w:rPr>
        <w:t>采购人</w:t>
      </w:r>
      <w:r>
        <w:rPr>
          <w:rFonts w:cs="Times New Roman" w:asciiTheme="minorEastAsia" w:hAnsiTheme="minorEastAsia"/>
          <w:kern w:val="0"/>
          <w:sz w:val="24"/>
          <w:szCs w:val="24"/>
        </w:rPr>
        <w:t>负责解释。</w:t>
      </w:r>
    </w:p>
    <w:p>
      <w:pPr>
        <w:spacing w:line="560" w:lineRule="exact"/>
        <w:jc w:val="center"/>
        <w:outlineLvl w:val="0"/>
        <w:rPr>
          <w:rFonts w:ascii="Times New Roman" w:hAnsi="Times New Roman" w:eastAsia="方正小标宋简体" w:cs="Times New Roman"/>
          <w:bCs/>
          <w:kern w:val="0"/>
          <w:sz w:val="44"/>
          <w:szCs w:val="44"/>
        </w:rPr>
      </w:pPr>
      <w:r>
        <w:rPr>
          <w:rFonts w:hint="eastAsia" w:ascii="Times New Roman" w:hAnsi="Times New Roman" w:eastAsia="方正小标宋简体" w:cs="Times New Roman"/>
          <w:bCs/>
          <w:kern w:val="0"/>
          <w:sz w:val="44"/>
          <w:szCs w:val="44"/>
        </w:rPr>
        <w:t>第四部分  合同样本</w:t>
      </w:r>
      <w:bookmarkEnd w:id="21"/>
      <w:bookmarkEnd w:id="22"/>
      <w:bookmarkEnd w:id="23"/>
      <w:bookmarkStart w:id="24" w:name="_Toc435540982"/>
      <w:bookmarkStart w:id="25" w:name="_Toc285612604"/>
      <w:bookmarkStart w:id="26" w:name="_Toc240432233"/>
      <w:bookmarkStart w:id="27" w:name="_Toc390713970"/>
    </w:p>
    <w:p>
      <w:pPr>
        <w:tabs>
          <w:tab w:val="center" w:pos="4873"/>
          <w:tab w:val="left" w:pos="8504"/>
        </w:tabs>
        <w:jc w:val="center"/>
        <w:rPr>
          <w:rFonts w:ascii="方正大标宋简体" w:eastAsia="方正大标宋简体"/>
          <w:bCs/>
          <w:sz w:val="44"/>
          <w:szCs w:val="44"/>
        </w:rPr>
      </w:pPr>
      <w:r>
        <w:rPr>
          <w:rFonts w:hint="eastAsia" w:ascii="方正大标宋简体" w:eastAsia="方正大标宋简体"/>
          <w:bCs/>
          <w:sz w:val="44"/>
          <w:szCs w:val="44"/>
        </w:rPr>
        <w:t>物资采购合同</w:t>
      </w:r>
    </w:p>
    <w:p>
      <w:pPr>
        <w:jc w:val="left"/>
      </w:pPr>
      <w:r>
        <w:drawing>
          <wp:inline distT="0" distB="0" distL="0" distR="0">
            <wp:extent cx="6143625" cy="36195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6143625" cy="3619500"/>
                    </a:xfrm>
                    <a:prstGeom prst="rect">
                      <a:avLst/>
                    </a:prstGeom>
                    <a:noFill/>
                    <a:ln>
                      <a:noFill/>
                    </a:ln>
                  </pic:spPr>
                </pic:pic>
              </a:graphicData>
            </a:graphic>
          </wp:inline>
        </w:drawing>
      </w:r>
    </w:p>
    <w:p>
      <w:pPr>
        <w:jc w:val="left"/>
        <w:rPr>
          <w:rFonts w:ascii="黑体" w:hAnsi="宋体" w:eastAsia="黑体"/>
          <w:bCs/>
          <w:snapToGrid w:val="0"/>
          <w:spacing w:val="-10"/>
          <w:kern w:val="0"/>
          <w:sz w:val="28"/>
          <w:szCs w:val="28"/>
        </w:rPr>
      </w:pPr>
      <w:r>
        <w:rPr>
          <w:rFonts w:hint="eastAsia" w:ascii="黑体" w:hAnsi="宋体" w:eastAsia="黑体"/>
          <w:bCs/>
          <w:snapToGrid w:val="0"/>
          <w:spacing w:val="-10"/>
          <w:kern w:val="0"/>
          <w:sz w:val="28"/>
          <w:szCs w:val="28"/>
        </w:rPr>
        <w:t xml:space="preserve">    一、合同标的</w:t>
      </w:r>
      <w:r>
        <w:rPr>
          <w:rFonts w:hint="eastAsia"/>
        </w:rPr>
        <w:t xml:space="preserve"> </w:t>
      </w:r>
    </w:p>
    <w:p>
      <w:pPr>
        <w:rPr>
          <w:rFonts w:ascii="黑体" w:hAnsi="宋体" w:eastAsia="黑体"/>
          <w:bCs/>
          <w:snapToGrid w:val="0"/>
          <w:kern w:val="0"/>
          <w:sz w:val="28"/>
          <w:szCs w:val="28"/>
        </w:rPr>
      </w:pPr>
      <w:r>
        <w:drawing>
          <wp:inline distT="0" distB="0" distL="0" distR="0">
            <wp:extent cx="6200775" cy="25908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6200775" cy="2590800"/>
                    </a:xfrm>
                    <a:prstGeom prst="rect">
                      <a:avLst/>
                    </a:prstGeom>
                    <a:noFill/>
                    <a:ln>
                      <a:noFill/>
                    </a:ln>
                  </pic:spPr>
                </pic:pic>
              </a:graphicData>
            </a:graphic>
          </wp:inline>
        </w:drawing>
      </w:r>
    </w:p>
    <w:p>
      <w:pPr>
        <w:spacing w:line="576" w:lineRule="exact"/>
        <w:ind w:firstLine="560" w:firstLineChars="200"/>
        <w:rPr>
          <w:rFonts w:ascii="仿宋_GB2312" w:hAnsi="宋体" w:eastAsia="仿宋_GB2312"/>
          <w:snapToGrid w:val="0"/>
          <w:kern w:val="0"/>
          <w:sz w:val="28"/>
          <w:szCs w:val="28"/>
        </w:rPr>
      </w:pPr>
      <w:r>
        <w:rPr>
          <w:rFonts w:hint="eastAsia" w:ascii="黑体" w:hAnsi="宋体" w:eastAsia="黑体"/>
          <w:bCs/>
          <w:snapToGrid w:val="0"/>
          <w:kern w:val="0"/>
          <w:sz w:val="28"/>
          <w:szCs w:val="28"/>
        </w:rPr>
        <w:t>二、质量标准</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 xml:space="preserve"> 乙方提供的货物必须是全新的、未使用过的，物资质量应符合　□国际标准　□国家标准　□国军标　□行业标准　□企业标准 □设计任务书　□投标书或响应文件承诺□其它</w:t>
      </w:r>
      <w:r>
        <w:rPr>
          <w:rFonts w:hint="eastAsia" w:ascii="仿宋_GB2312" w:hAnsi="宋体" w:eastAsia="仿宋_GB2312"/>
          <w:snapToGrid w:val="0"/>
          <w:kern w:val="0"/>
          <w:sz w:val="28"/>
          <w:szCs w:val="28"/>
          <w:u w:val="single"/>
        </w:rPr>
        <w:t xml:space="preserve"> </w:t>
      </w:r>
      <w:r>
        <w:rPr>
          <w:rFonts w:hint="eastAsia" w:ascii="仿宋_GB2312" w:hAnsi="宋体" w:eastAsia="仿宋_GB2312"/>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bCs/>
          <w:snapToGrid w:val="0"/>
          <w:kern w:val="0"/>
          <w:sz w:val="28"/>
          <w:szCs w:val="28"/>
        </w:rPr>
      </w:pPr>
      <w:r>
        <w:rPr>
          <w:rFonts w:hint="eastAsia" w:ascii="黑体" w:hAnsi="宋体" w:eastAsia="黑体"/>
          <w:bCs/>
          <w:snapToGrid w:val="0"/>
          <w:kern w:val="0"/>
          <w:sz w:val="28"/>
          <w:szCs w:val="28"/>
        </w:rPr>
        <w:t>三、包装及资料</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物资包装应符合  □国际标准　□国家标准　□国军标　□行业标准　□企业标准 □设计任务书　□投标书或响应文件承诺  □其它</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bCs/>
          <w:snapToGrid w:val="0"/>
          <w:kern w:val="0"/>
          <w:sz w:val="28"/>
          <w:szCs w:val="28"/>
        </w:rPr>
      </w:pPr>
      <w:r>
        <w:rPr>
          <w:rFonts w:hint="eastAsia" w:ascii="仿宋_GB2312" w:hAnsi="宋体" w:eastAsia="仿宋_GB2312"/>
          <w:snapToGrid w:val="0"/>
          <w:kern w:val="0"/>
          <w:sz w:val="28"/>
          <w:szCs w:val="28"/>
        </w:rPr>
        <w:t>□</w:t>
      </w:r>
      <w:r>
        <w:rPr>
          <w:rFonts w:hint="eastAsia" w:ascii="仿宋_GB2312" w:hAnsi="宋体" w:eastAsia="仿宋_GB2312"/>
          <w:bCs/>
          <w:snapToGrid w:val="0"/>
          <w:kern w:val="0"/>
          <w:sz w:val="28"/>
          <w:szCs w:val="28"/>
        </w:rPr>
        <w:t>物资出厂资料</w:t>
      </w:r>
      <w:r>
        <w:rPr>
          <w:rFonts w:hint="eastAsia" w:ascii="仿宋_GB2312" w:hAnsi="宋体" w:eastAsia="仿宋_GB2312"/>
          <w:snapToGrid w:val="0"/>
          <w:kern w:val="0"/>
          <w:sz w:val="28"/>
          <w:szCs w:val="28"/>
        </w:rPr>
        <w:t xml:space="preserve">  □中文使用操作说明书（2套）　□售后服务手册　□操作维修光盘（2套）  □履历书　□装箱清单　□随装工具  □随装备件 □质量检验证明  □产品合格证  □军检合格证  □装备铭牌（块数、式样、材质、安装位置供需双方商定）□其它</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sz w:val="28"/>
          <w:szCs w:val="28"/>
          <w:u w:val="single"/>
        </w:rPr>
        <w:t xml:space="preserve">      </w:t>
      </w:r>
      <w:r>
        <w:rPr>
          <w:rFonts w:hint="eastAsia" w:ascii="仿宋_GB2312" w:hAnsi="宋体" w:eastAsia="仿宋_GB2312"/>
          <w:snapToGrid w:val="0"/>
          <w:kern w:val="0"/>
          <w:sz w:val="28"/>
          <w:szCs w:val="28"/>
          <w:u w:val="single"/>
        </w:rPr>
        <w:t>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黑体" w:hAnsi="宋体" w:eastAsia="黑体"/>
          <w:bCs/>
          <w:snapToGrid w:val="0"/>
          <w:kern w:val="0"/>
          <w:sz w:val="28"/>
          <w:szCs w:val="28"/>
        </w:rPr>
        <w:t>四、检验验收</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□出厂验收由甲方</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组织，乙方配合，验收时间及方法</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w:t>
      </w:r>
      <w:r>
        <w:rPr>
          <w:rFonts w:hint="eastAsia" w:ascii="仿宋_GB2312" w:hAnsi="宋体" w:eastAsia="仿宋_GB2312" w:cs="Times New Roman"/>
          <w:snapToGrid w:val="0"/>
          <w:kern w:val="0"/>
          <w:sz w:val="28"/>
          <w:szCs w:val="28"/>
        </w:rPr>
        <w:t>乙方详细生产地址</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□交货验收</w:t>
      </w:r>
      <w:r>
        <w:rPr>
          <w:rFonts w:hint="eastAsia" w:ascii="仿宋_GB2312" w:hAnsi="宋体" w:eastAsia="仿宋_GB2312"/>
          <w:snapToGrid w:val="0"/>
          <w:kern w:val="0"/>
          <w:sz w:val="28"/>
          <w:szCs w:val="28"/>
          <w:u w:val="single"/>
        </w:rPr>
        <w:t xml:space="preserve">  </w:t>
      </w:r>
      <w:r>
        <w:rPr>
          <w:rFonts w:hint="eastAsia" w:ascii="仿宋_GB2312" w:hAnsi="宋体" w:eastAsia="仿宋_GB2312"/>
          <w:kern w:val="0"/>
          <w:sz w:val="28"/>
          <w:szCs w:val="28"/>
          <w:u w:val="single"/>
          <w:lang w:val="zh-CN"/>
        </w:rPr>
        <w:t xml:space="preserve">                               </w:t>
      </w:r>
      <w:r>
        <w:rPr>
          <w:rFonts w:hint="eastAsia" w:ascii="仿宋_GB2312" w:hAnsi="宋体" w:eastAsia="仿宋_GB2312"/>
          <w:snapToGrid w:val="0"/>
          <w:sz w:val="28"/>
          <w:szCs w:val="28"/>
          <w:u w:val="single"/>
        </w:rPr>
        <w:t xml:space="preserve"> </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□过程检验</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 xml:space="preserve">   □其它</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黑体" w:hAnsi="宋体" w:eastAsia="黑体"/>
          <w:bCs/>
          <w:snapToGrid w:val="0"/>
          <w:kern w:val="0"/>
          <w:sz w:val="28"/>
          <w:szCs w:val="28"/>
        </w:rPr>
        <w:t>五、交货地点</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□乙方</w:t>
      </w:r>
      <w:r>
        <w:rPr>
          <w:rFonts w:hint="eastAsia" w:ascii="仿宋_GB2312" w:hAnsi="宋体" w:eastAsia="仿宋_GB2312"/>
          <w:snapToGrid w:val="0"/>
          <w:kern w:val="0"/>
          <w:sz w:val="28"/>
          <w:szCs w:val="28"/>
          <w:u w:val="single"/>
        </w:rPr>
        <w:t>　　  　</w:t>
      </w:r>
      <w:r>
        <w:rPr>
          <w:rFonts w:hint="eastAsia" w:ascii="仿宋_GB2312" w:hAnsi="宋体" w:eastAsia="仿宋_GB2312"/>
          <w:snapToGrid w:val="0"/>
          <w:kern w:val="0"/>
          <w:sz w:val="28"/>
          <w:szCs w:val="28"/>
        </w:rPr>
        <w:t xml:space="preserve">  □甲方发运接收单指定地点</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sz w:val="28"/>
          <w:szCs w:val="28"/>
          <w:u w:val="single"/>
        </w:rPr>
        <w:t xml:space="preserve">       </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bCs/>
          <w:snapToGrid w:val="0"/>
          <w:kern w:val="0"/>
          <w:sz w:val="28"/>
          <w:szCs w:val="28"/>
        </w:rPr>
      </w:pPr>
      <w:r>
        <w:rPr>
          <w:rFonts w:hint="eastAsia" w:ascii="仿宋_GB2312" w:hAnsi="宋体" w:eastAsia="仿宋_GB2312"/>
          <w:snapToGrid w:val="0"/>
          <w:kern w:val="0"/>
          <w:sz w:val="28"/>
          <w:szCs w:val="28"/>
        </w:rPr>
        <w:t xml:space="preserve">              □其它</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黑体" w:hAnsi="宋体" w:eastAsia="黑体"/>
          <w:bCs/>
          <w:snapToGrid w:val="0"/>
          <w:kern w:val="0"/>
          <w:sz w:val="28"/>
          <w:szCs w:val="28"/>
        </w:rPr>
        <w:t>六、交货方式</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□甲方自提　□乙方送货　□甲方负责申请（□公路  □铁路　□水运 □航空）军事运输计划组织发运，乙方配合 □其他</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u w:val="single"/>
        </w:rPr>
      </w:pPr>
      <w:r>
        <w:rPr>
          <w:rFonts w:hint="eastAsia" w:ascii="黑体" w:hAnsi="宋体" w:eastAsia="黑体"/>
          <w:bCs/>
          <w:snapToGrid w:val="0"/>
          <w:kern w:val="0"/>
          <w:sz w:val="28"/>
          <w:szCs w:val="28"/>
        </w:rPr>
        <w:t>七、运输费用</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□甲方承担，乙方代垫，凭票据报销 □乙方承担  □甲方承担费用</w:t>
      </w:r>
      <w:r>
        <w:rPr>
          <w:rFonts w:hint="eastAsia" w:ascii="仿宋_GB2312" w:hAnsi="宋体" w:eastAsia="仿宋_GB2312"/>
          <w:snapToGrid w:val="0"/>
          <w:kern w:val="0"/>
          <w:sz w:val="28"/>
          <w:szCs w:val="28"/>
          <w:u w:val="single"/>
        </w:rPr>
        <w:t>　　        　　　</w:t>
      </w:r>
      <w:r>
        <w:rPr>
          <w:rFonts w:hint="eastAsia" w:ascii="仿宋_GB2312" w:hAnsi="宋体" w:eastAsia="仿宋_GB2312"/>
          <w:snapToGrid w:val="0"/>
          <w:kern w:val="0"/>
          <w:sz w:val="28"/>
          <w:szCs w:val="28"/>
        </w:rPr>
        <w:t>元，乙方包干使用  □其它</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黑体" w:hAnsi="宋体" w:eastAsia="黑体"/>
          <w:bCs/>
          <w:snapToGrid w:val="0"/>
          <w:kern w:val="0"/>
          <w:sz w:val="28"/>
          <w:szCs w:val="28"/>
        </w:rPr>
        <w:t>八、售后服务</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□售后服务联系方式：固定电话</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，手机</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，电子邮箱</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□质保期</w:t>
      </w:r>
      <w:r>
        <w:rPr>
          <w:rFonts w:hint="eastAsia" w:ascii="仿宋_GB2312" w:hAnsi="宋体" w:eastAsia="仿宋_GB2312"/>
          <w:snapToGrid w:val="0"/>
          <w:kern w:val="0"/>
          <w:sz w:val="28"/>
          <w:szCs w:val="28"/>
          <w:u w:val="single"/>
        </w:rPr>
        <w:t>　　</w:t>
      </w:r>
      <w:r>
        <w:rPr>
          <w:rFonts w:hint="eastAsia" w:ascii="仿宋_GB2312" w:hAnsi="宋体" w:eastAsia="仿宋_GB2312"/>
          <w:kern w:val="0"/>
          <w:sz w:val="28"/>
          <w:szCs w:val="28"/>
          <w:u w:val="single"/>
          <w:lang w:val="zh-CN"/>
        </w:rPr>
        <w:t xml:space="preserve">     </w:t>
      </w:r>
      <w:r>
        <w:rPr>
          <w:rFonts w:hint="eastAsia" w:ascii="仿宋_GB2312" w:hAnsi="宋体" w:eastAsia="仿宋_GB2312"/>
          <w:snapToGrid w:val="0"/>
          <w:kern w:val="0"/>
          <w:sz w:val="28"/>
          <w:szCs w:val="28"/>
          <w:u w:val="single"/>
        </w:rPr>
        <w:t>　</w:t>
      </w:r>
      <w:r>
        <w:rPr>
          <w:rFonts w:hint="eastAsia" w:ascii="仿宋_GB2312" w:hAnsi="宋体" w:eastAsia="仿宋_GB2312"/>
          <w:snapToGrid w:val="0"/>
          <w:kern w:val="0"/>
          <w:sz w:val="28"/>
          <w:szCs w:val="28"/>
        </w:rPr>
        <w:t>。质保期内</w:t>
      </w:r>
      <w:r>
        <w:rPr>
          <w:rFonts w:hint="eastAsia" w:ascii="仿宋_GB2312" w:hAnsi="宋体" w:eastAsia="仿宋_GB2312"/>
          <w:snapToGrid w:val="0"/>
          <w:kern w:val="0"/>
          <w:sz w:val="28"/>
          <w:szCs w:val="28"/>
          <w:u w:val="single"/>
        </w:rPr>
        <w:t xml:space="preserve">       </w:t>
      </w:r>
      <w:r>
        <w:rPr>
          <w:rFonts w:hint="eastAsia" w:ascii="仿宋_GB2312" w:hAnsi="宋体" w:eastAsia="仿宋_GB2312"/>
          <w:kern w:val="0"/>
          <w:sz w:val="28"/>
          <w:szCs w:val="28"/>
          <w:u w:val="single"/>
          <w:lang w:val="zh-CN"/>
        </w:rPr>
        <w:t xml:space="preserve">  </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，超出质保期后</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spacing w:line="576" w:lineRule="exact"/>
        <w:ind w:firstLine="560" w:firstLineChars="200"/>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□保修期</w:t>
      </w:r>
      <w:r>
        <w:rPr>
          <w:rFonts w:hint="eastAsia" w:ascii="仿宋_GB2312" w:hAnsi="宋体" w:eastAsia="仿宋_GB2312"/>
          <w:snapToGrid w:val="0"/>
          <w:kern w:val="0"/>
          <w:sz w:val="28"/>
          <w:szCs w:val="28"/>
          <w:u w:val="single"/>
        </w:rPr>
        <w:t>　　   　　</w:t>
      </w:r>
      <w:r>
        <w:rPr>
          <w:rFonts w:hint="eastAsia" w:ascii="仿宋_GB2312" w:hAnsi="宋体" w:eastAsia="仿宋_GB2312"/>
          <w:snapToGrid w:val="0"/>
          <w:kern w:val="0"/>
          <w:sz w:val="28"/>
          <w:szCs w:val="28"/>
        </w:rPr>
        <w:t>。保修期内</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，超出保修期后</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□培训方式及费用承担</w:t>
      </w:r>
      <w:r>
        <w:rPr>
          <w:rFonts w:hint="eastAsia" w:ascii="仿宋_GB2312" w:hAnsi="宋体" w:eastAsia="仿宋_GB2312"/>
          <w:snapToGrid w:val="0"/>
          <w:kern w:val="0"/>
          <w:sz w:val="28"/>
          <w:szCs w:val="28"/>
          <w:u w:val="single"/>
        </w:rPr>
        <w:t xml:space="preserve">   </w:t>
      </w:r>
      <w:r>
        <w:rPr>
          <w:rFonts w:hint="eastAsia" w:ascii="仿宋_GB2312" w:hAnsi="宋体" w:eastAsia="仿宋_GB2312"/>
          <w:kern w:val="0"/>
          <w:sz w:val="28"/>
          <w:szCs w:val="28"/>
          <w:u w:val="single"/>
          <w:lang w:val="zh-CN"/>
        </w:rPr>
        <w:t xml:space="preserve">                         </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□其他</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color w:val="FF0000"/>
          <w:kern w:val="0"/>
          <w:sz w:val="28"/>
          <w:szCs w:val="28"/>
        </w:rPr>
      </w:pPr>
      <w:r>
        <w:rPr>
          <w:rFonts w:hint="eastAsia" w:ascii="黑体" w:hAnsi="宋体" w:eastAsia="黑体"/>
          <w:bCs/>
          <w:snapToGrid w:val="0"/>
          <w:color w:val="FF0000"/>
          <w:kern w:val="0"/>
          <w:sz w:val="28"/>
          <w:szCs w:val="28"/>
        </w:rPr>
        <w:t>九、资金结算</w:t>
      </w:r>
      <w:r>
        <w:rPr>
          <w:rFonts w:hint="eastAsia" w:ascii="仿宋_GB2312" w:hAnsi="宋体" w:eastAsia="仿宋_GB2312"/>
          <w:snapToGrid w:val="0"/>
          <w:color w:val="FF0000"/>
          <w:kern w:val="0"/>
          <w:sz w:val="28"/>
          <w:szCs w:val="28"/>
        </w:rPr>
        <w:t xml:space="preserve">  □自本合同签订生效之日起</w:t>
      </w:r>
      <w:r>
        <w:rPr>
          <w:rFonts w:hint="eastAsia" w:ascii="仿宋_GB2312" w:hAnsi="宋体" w:eastAsia="仿宋_GB2312"/>
          <w:snapToGrid w:val="0"/>
          <w:color w:val="FF0000"/>
          <w:kern w:val="0"/>
          <w:sz w:val="28"/>
          <w:szCs w:val="28"/>
          <w:u w:val="single"/>
        </w:rPr>
        <w:t xml:space="preserve">        </w:t>
      </w:r>
      <w:r>
        <w:rPr>
          <w:rFonts w:hint="eastAsia" w:ascii="仿宋_GB2312" w:hAnsi="宋体" w:eastAsia="仿宋_GB2312"/>
          <w:snapToGrid w:val="0"/>
          <w:color w:val="FF0000"/>
          <w:kern w:val="0"/>
          <w:sz w:val="28"/>
          <w:szCs w:val="28"/>
        </w:rPr>
        <w:t>天内，甲方向乙方支付合同总金额的</w:t>
      </w:r>
      <w:r>
        <w:rPr>
          <w:rFonts w:hint="eastAsia" w:ascii="仿宋_GB2312" w:hAnsi="宋体" w:eastAsia="仿宋_GB2312"/>
          <w:snapToGrid w:val="0"/>
          <w:color w:val="FF0000"/>
          <w:kern w:val="0"/>
          <w:sz w:val="28"/>
          <w:szCs w:val="28"/>
          <w:u w:val="single"/>
        </w:rPr>
        <w:t xml:space="preserve">      </w:t>
      </w:r>
      <w:r>
        <w:rPr>
          <w:rFonts w:hint="eastAsia" w:ascii="仿宋_GB2312" w:hAnsi="宋体" w:eastAsia="仿宋_GB2312"/>
          <w:snapToGrid w:val="0"/>
          <w:color w:val="FF0000"/>
          <w:kern w:val="0"/>
          <w:sz w:val="28"/>
          <w:szCs w:val="28"/>
        </w:rPr>
        <w:t>%的预付款。</w:t>
      </w:r>
      <w:r>
        <w:rPr>
          <w:rFonts w:ascii="仿宋_GB2312" w:hAnsi="宋体" w:eastAsia="仿宋_GB2312" w:cs="Times New Roman"/>
          <w:snapToGrid w:val="0"/>
          <w:color w:val="FF0000"/>
          <w:kern w:val="0"/>
          <w:sz w:val="28"/>
          <w:szCs w:val="28"/>
        </w:rPr>
        <w:t>□</w:t>
      </w:r>
      <w:r>
        <w:rPr>
          <w:rFonts w:hint="eastAsia" w:ascii="仿宋_GB2312" w:hAnsi="宋体" w:eastAsia="仿宋_GB2312" w:cs="Times New Roman"/>
          <w:snapToGrid w:val="0"/>
          <w:color w:val="FF0000"/>
          <w:kern w:val="0"/>
          <w:sz w:val="28"/>
          <w:szCs w:val="28"/>
        </w:rPr>
        <w:t>首检合格后再办理预付款。</w:t>
      </w:r>
      <w:r>
        <w:rPr>
          <w:rFonts w:hint="eastAsia" w:ascii="仿宋_GB2312" w:hAnsi="宋体" w:eastAsia="仿宋_GB2312"/>
          <w:snapToGrid w:val="0"/>
          <w:color w:val="FF0000"/>
          <w:kern w:val="0"/>
          <w:sz w:val="28"/>
          <w:szCs w:val="28"/>
        </w:rPr>
        <w:t>物资检验验收合格并完成交货后</w:t>
      </w:r>
      <w:r>
        <w:rPr>
          <w:rFonts w:hint="eastAsia" w:ascii="仿宋_GB2312" w:hAnsi="宋体" w:eastAsia="仿宋_GB2312"/>
          <w:snapToGrid w:val="0"/>
          <w:color w:val="FF0000"/>
          <w:kern w:val="0"/>
          <w:sz w:val="28"/>
          <w:szCs w:val="28"/>
          <w:u w:val="single"/>
        </w:rPr>
        <w:t xml:space="preserve">        </w:t>
      </w:r>
      <w:r>
        <w:rPr>
          <w:rFonts w:hint="eastAsia" w:ascii="仿宋_GB2312" w:hAnsi="宋体" w:eastAsia="仿宋_GB2312"/>
          <w:snapToGrid w:val="0"/>
          <w:color w:val="FF0000"/>
          <w:kern w:val="0"/>
          <w:sz w:val="28"/>
          <w:szCs w:val="28"/>
        </w:rPr>
        <w:t>天内，甲方凭乙方提供的相关票据单证，向乙方支付合同总金额的</w:t>
      </w:r>
      <w:r>
        <w:rPr>
          <w:rFonts w:hint="eastAsia" w:ascii="仿宋_GB2312" w:hAnsi="宋体" w:eastAsia="仿宋_GB2312"/>
          <w:snapToGrid w:val="0"/>
          <w:color w:val="FF0000"/>
          <w:kern w:val="0"/>
          <w:sz w:val="28"/>
          <w:szCs w:val="28"/>
          <w:u w:val="single"/>
        </w:rPr>
        <w:t xml:space="preserve"> 　   </w:t>
      </w:r>
      <w:r>
        <w:rPr>
          <w:rFonts w:hint="eastAsia" w:ascii="仿宋_GB2312" w:hAnsi="宋体" w:eastAsia="仿宋_GB2312"/>
          <w:snapToGrid w:val="0"/>
          <w:color w:val="FF0000"/>
          <w:kern w:val="0"/>
          <w:sz w:val="28"/>
          <w:szCs w:val="28"/>
        </w:rPr>
        <w:t>%， □余</w:t>
      </w:r>
      <w:r>
        <w:rPr>
          <w:rFonts w:hint="eastAsia" w:ascii="仿宋_GB2312" w:hAnsi="宋体" w:eastAsia="仿宋_GB2312"/>
          <w:snapToGrid w:val="0"/>
          <w:color w:val="FF0000"/>
          <w:kern w:val="0"/>
          <w:sz w:val="28"/>
          <w:szCs w:val="28"/>
          <w:u w:val="single"/>
        </w:rPr>
        <w:t xml:space="preserve">     </w:t>
      </w:r>
      <w:r>
        <w:rPr>
          <w:rFonts w:hint="eastAsia" w:ascii="仿宋_GB2312" w:hAnsi="宋体" w:eastAsia="仿宋_GB2312"/>
          <w:snapToGrid w:val="0"/>
          <w:color w:val="FF0000"/>
          <w:kern w:val="0"/>
          <w:sz w:val="28"/>
          <w:szCs w:val="28"/>
        </w:rPr>
        <w:t xml:space="preserve">%作为质量保证金，自交货之日起　□三个月　□六个月　□十二个月  </w:t>
      </w:r>
      <w:r>
        <w:rPr>
          <w:rFonts w:ascii="仿宋_GB2312" w:hAnsi="宋体" w:eastAsia="仿宋_GB2312" w:cs="Times New Roman"/>
          <w:snapToGrid w:val="0"/>
          <w:color w:val="FF0000"/>
          <w:kern w:val="0"/>
          <w:sz w:val="28"/>
          <w:szCs w:val="28"/>
        </w:rPr>
        <w:t>□</w:t>
      </w:r>
      <w:r>
        <w:rPr>
          <w:rFonts w:hint="eastAsia" w:ascii="仿宋_GB2312" w:hAnsi="宋体" w:eastAsia="仿宋_GB2312"/>
          <w:snapToGrid w:val="0"/>
          <w:color w:val="FF0000"/>
          <w:kern w:val="0"/>
          <w:sz w:val="28"/>
          <w:szCs w:val="28"/>
          <w:u w:val="single"/>
        </w:rPr>
        <w:t xml:space="preserve">      </w:t>
      </w:r>
      <w:r>
        <w:rPr>
          <w:rFonts w:hint="eastAsia" w:ascii="仿宋_GB2312" w:hAnsi="宋体" w:eastAsia="仿宋_GB2312"/>
          <w:snapToGrid w:val="0"/>
          <w:color w:val="FF0000"/>
          <w:kern w:val="0"/>
          <w:sz w:val="28"/>
          <w:szCs w:val="28"/>
        </w:rPr>
        <w:t xml:space="preserve"> </w:t>
      </w:r>
      <w:r>
        <w:rPr>
          <w:rFonts w:hint="eastAsia" w:ascii="仿宋_GB2312" w:hAnsi="宋体" w:eastAsia="仿宋_GB2312" w:cs="Times New Roman"/>
          <w:snapToGrid w:val="0"/>
          <w:color w:val="FF0000"/>
          <w:kern w:val="0"/>
          <w:sz w:val="28"/>
          <w:szCs w:val="28"/>
        </w:rPr>
        <w:t>月</w:t>
      </w:r>
      <w:r>
        <w:rPr>
          <w:rFonts w:hint="eastAsia" w:ascii="仿宋_GB2312" w:hAnsi="宋体" w:eastAsia="仿宋_GB2312"/>
          <w:snapToGrid w:val="0"/>
          <w:color w:val="FF0000"/>
          <w:kern w:val="0"/>
          <w:sz w:val="28"/>
          <w:szCs w:val="28"/>
        </w:rPr>
        <w:t>正常使用且无质量问题时，一次性结清。  □最终结算按审价报告执行。合同价即为含税价，且乙方须向甲方开具增值税专用发票。</w:t>
      </w:r>
    </w:p>
    <w:p>
      <w:pPr>
        <w:adjustRightInd w:val="0"/>
        <w:snapToGrid w:val="0"/>
        <w:spacing w:line="576" w:lineRule="exact"/>
        <w:ind w:firstLine="548" w:firstLineChars="196"/>
        <w:jc w:val="left"/>
        <w:rPr>
          <w:rFonts w:ascii="仿宋_GB2312" w:hAnsi="宋体" w:eastAsia="仿宋_GB2312"/>
          <w:bCs/>
          <w:snapToGrid w:val="0"/>
          <w:kern w:val="0"/>
          <w:sz w:val="28"/>
          <w:szCs w:val="28"/>
        </w:rPr>
      </w:pPr>
      <w:r>
        <w:rPr>
          <w:rFonts w:hint="eastAsia" w:ascii="黑体" w:hAnsi="宋体" w:eastAsia="黑体"/>
          <w:bCs/>
          <w:snapToGrid w:val="0"/>
          <w:kern w:val="0"/>
          <w:sz w:val="28"/>
          <w:szCs w:val="28"/>
        </w:rPr>
        <w:t>十、知识产权</w:t>
      </w:r>
      <w:r>
        <w:rPr>
          <w:rFonts w:hint="eastAsia" w:ascii="仿宋_GB2312" w:hAnsi="宋体" w:eastAsia="仿宋_GB2312"/>
          <w:bCs/>
          <w:snapToGrid w:val="0"/>
          <w:kern w:val="0"/>
          <w:sz w:val="28"/>
          <w:szCs w:val="28"/>
        </w:rPr>
        <w:t xml:space="preserve">  乙方应保证甲方使用其提供的物资时不受第三方关于侵犯专利权、商标权和工业设计权的指控，甲方不承担任何连带责任和赔偿责任。</w:t>
      </w:r>
    </w:p>
    <w:p>
      <w:pPr>
        <w:adjustRightInd w:val="0"/>
        <w:snapToGrid w:val="0"/>
        <w:spacing w:line="576" w:lineRule="exact"/>
        <w:ind w:firstLine="548" w:firstLineChars="196"/>
        <w:jc w:val="left"/>
        <w:rPr>
          <w:rFonts w:ascii="仿宋_GB2312" w:hAnsi="宋体" w:eastAsia="仿宋_GB2312"/>
          <w:bCs/>
          <w:snapToGrid w:val="0"/>
          <w:kern w:val="0"/>
          <w:sz w:val="28"/>
          <w:szCs w:val="28"/>
        </w:rPr>
      </w:pPr>
      <w:r>
        <w:rPr>
          <w:rFonts w:hint="eastAsia" w:ascii="黑体" w:hAnsi="宋体" w:eastAsia="黑体"/>
          <w:bCs/>
          <w:snapToGrid w:val="0"/>
          <w:kern w:val="0"/>
          <w:sz w:val="28"/>
          <w:szCs w:val="28"/>
        </w:rPr>
        <w:t>十一、保密责任</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□甲方对乙方的商业秘密应当保密  □</w:t>
      </w:r>
      <w:r>
        <w:rPr>
          <w:rFonts w:hint="eastAsia" w:ascii="仿宋_GB2312" w:hAnsi="宋体" w:eastAsia="仿宋_GB2312"/>
          <w:bCs/>
          <w:snapToGrid w:val="0"/>
          <w:kern w:val="0"/>
          <w:sz w:val="28"/>
          <w:szCs w:val="28"/>
        </w:rPr>
        <w:t xml:space="preserve">乙方对本合同的签订、履行及解除等事项保密， </w:t>
      </w:r>
      <w:r>
        <w:rPr>
          <w:rFonts w:hint="eastAsia" w:ascii="仿宋_GB2312" w:hAnsi="宋体" w:eastAsia="仿宋_GB2312"/>
          <w:snapToGrid w:val="0"/>
          <w:kern w:val="0"/>
          <w:sz w:val="28"/>
          <w:szCs w:val="28"/>
        </w:rPr>
        <w:t>□涉及物资的全部技术资料等未经甲方同意乙方不得向社会公开 □乙方应对甲方委托送货的发运单、接收单位目录和售后服务单位目录等资料，按密级管理，不得泄密。 □其他</w:t>
      </w:r>
      <w:r>
        <w:rPr>
          <w:rFonts w:hint="eastAsia" w:ascii="仿宋_GB2312" w:hAnsi="宋体" w:eastAsia="仿宋_GB2312"/>
          <w:bCs/>
          <w:snapToGrid w:val="0"/>
          <w:kern w:val="0"/>
          <w:sz w:val="28"/>
          <w:szCs w:val="28"/>
          <w:u w:val="single"/>
        </w:rPr>
        <w:t xml:space="preserve">       </w:t>
      </w:r>
      <w:r>
        <w:rPr>
          <w:rFonts w:hint="eastAsia" w:ascii="仿宋_GB2312" w:hAnsi="宋体" w:eastAsia="仿宋_GB2312"/>
          <w:bCs/>
          <w:snapToGrid w:val="0"/>
          <w:kern w:val="0"/>
          <w:sz w:val="28"/>
          <w:szCs w:val="28"/>
        </w:rPr>
        <w:t>。</w:t>
      </w:r>
    </w:p>
    <w:p>
      <w:pPr>
        <w:spacing w:line="576" w:lineRule="exact"/>
        <w:ind w:firstLine="560" w:firstLineChars="200"/>
        <w:rPr>
          <w:rFonts w:ascii="仿宋_GB2312" w:hAnsi="宋体" w:eastAsia="仿宋_GB2312"/>
          <w:snapToGrid w:val="0"/>
          <w:kern w:val="0"/>
          <w:sz w:val="28"/>
          <w:szCs w:val="28"/>
        </w:rPr>
      </w:pPr>
      <w:r>
        <w:rPr>
          <w:rFonts w:hint="eastAsia" w:ascii="黑体" w:hAnsi="宋体" w:eastAsia="黑体"/>
          <w:bCs/>
          <w:snapToGrid w:val="0"/>
          <w:kern w:val="0"/>
          <w:sz w:val="28"/>
          <w:szCs w:val="28"/>
        </w:rPr>
        <w:t>十二、合同变更与解除</w:t>
      </w:r>
      <w:r>
        <w:rPr>
          <w:rFonts w:hint="eastAsia" w:ascii="仿宋_GB2312" w:hAnsi="宋体" w:eastAsia="仿宋_GB2312"/>
          <w:bCs/>
          <w:snapToGrid w:val="0"/>
          <w:kern w:val="0"/>
          <w:sz w:val="28"/>
          <w:szCs w:val="28"/>
        </w:rPr>
        <w:t xml:space="preserve">  </w:t>
      </w:r>
      <w:r>
        <w:rPr>
          <w:rFonts w:hint="eastAsia" w:ascii="仿宋_GB2312" w:hAnsi="宋体" w:eastAsia="仿宋_GB2312"/>
          <w:snapToGrid w:val="0"/>
          <w:kern w:val="0"/>
          <w:sz w:val="28"/>
          <w:szCs w:val="28"/>
        </w:rPr>
        <w:t xml:space="preserve">□甲乙双方任何一方要求变更、解除或终止合同时，应及时通知对方，并采用书面形式由双方达成协议  □甲方因任务取消等情况，可以变更或解除合同，给乙方造成损失的，甲方应当赔偿  □乙方不能履行合同时，甲方有权解除合同，给甲方造成损失的，乙方应当赔偿   □未经甲方允许，乙方不得部分或全部转让其应履行的合同义务  </w:t>
      </w:r>
      <w:r>
        <w:rPr>
          <w:rFonts w:ascii="仿宋_GB2312" w:hAnsi="宋体" w:eastAsia="仿宋_GB2312" w:cs="Times New Roman"/>
          <w:snapToGrid w:val="0"/>
          <w:kern w:val="0"/>
          <w:sz w:val="28"/>
          <w:szCs w:val="28"/>
        </w:rPr>
        <w:t>□</w:t>
      </w:r>
      <w:r>
        <w:rPr>
          <w:rFonts w:hint="eastAsia" w:ascii="仿宋_GB2312" w:hAnsi="宋体" w:eastAsia="仿宋_GB2312" w:cs="Times New Roman"/>
          <w:snapToGrid w:val="0"/>
          <w:kern w:val="0"/>
          <w:sz w:val="28"/>
          <w:szCs w:val="28"/>
        </w:rPr>
        <w:t>产品出厂验收不合格，甲方有权拒收货物和支付货款，由此造成的一切损失由乙方承担</w:t>
      </w:r>
      <w:r>
        <w:rPr>
          <w:rFonts w:hint="eastAsia" w:ascii="仿宋_GB2312" w:hAnsi="宋体" w:eastAsia="仿宋_GB2312"/>
          <w:snapToGrid w:val="0"/>
          <w:kern w:val="0"/>
          <w:sz w:val="28"/>
          <w:szCs w:val="28"/>
        </w:rPr>
        <w:t xml:space="preserve">   □其他</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sz w:val="28"/>
          <w:szCs w:val="28"/>
          <w:u w:val="single"/>
        </w:rPr>
        <w:t xml:space="preserve">        </w:t>
      </w:r>
    </w:p>
    <w:p>
      <w:pPr>
        <w:spacing w:line="576" w:lineRule="exact"/>
        <w:ind w:firstLine="560" w:firstLineChars="200"/>
        <w:rPr>
          <w:rFonts w:ascii="仿宋_GB2312" w:hAnsi="宋体" w:eastAsia="仿宋_GB2312"/>
          <w:sz w:val="28"/>
          <w:szCs w:val="28"/>
          <w:u w:val="single"/>
        </w:rPr>
      </w:pPr>
      <w:r>
        <w:rPr>
          <w:rFonts w:hint="eastAsia" w:ascii="黑体" w:hAnsi="宋体" w:eastAsia="黑体"/>
          <w:bCs/>
          <w:snapToGrid w:val="0"/>
          <w:kern w:val="0"/>
          <w:sz w:val="28"/>
          <w:szCs w:val="28"/>
        </w:rPr>
        <w:t>十三、违约责任</w:t>
      </w:r>
      <w:r>
        <w:rPr>
          <w:rFonts w:hint="eastAsia" w:ascii="仿宋_GB2312" w:hAnsi="宋体" w:eastAsia="仿宋_GB2312"/>
          <w:snapToGrid w:val="0"/>
          <w:kern w:val="0"/>
          <w:sz w:val="28"/>
          <w:szCs w:val="28"/>
        </w:rPr>
        <w:t xml:space="preserve">  甲乙任何一方未经对方允许而违约时，违约方应向对方支付违约金，按</w:t>
      </w:r>
      <w:r>
        <w:rPr>
          <w:rFonts w:hint="eastAsia" w:ascii="仿宋_GB2312" w:hAnsi="宋体" w:eastAsia="仿宋_GB2312"/>
          <w:snapToGrid w:val="0"/>
          <w:kern w:val="0"/>
          <w:sz w:val="28"/>
          <w:szCs w:val="28"/>
          <w:u w:val="single"/>
        </w:rPr>
        <w:t xml:space="preserve"> </w:t>
      </w:r>
      <w:r>
        <w:rPr>
          <w:rFonts w:hint="eastAsia" w:ascii="仿宋_GB2312" w:hAnsi="宋体" w:eastAsia="仿宋_GB2312"/>
          <w:sz w:val="28"/>
          <w:szCs w:val="28"/>
          <w:u w:val="single"/>
        </w:rPr>
        <w:t xml:space="preserve">                   </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执行，违约金最高限额为合同总金额的</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%，违约金达到最高限额违约方仍不能完全履行合同时，另一方可以终止合同，造成的实际损失大于最高违约金时，违约方要给予足额赔偿。</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甲乙双方任何一方由于不可抗力影响合同履行时都要在灾害发生36小时内将情况通知另一方，在灾害发生后14天内向另一方出具权威部门的证明文件。如果不可抗力影响连续120天以上时，双方可以重新商定合同履行问题。</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黑体" w:hAnsi="宋体" w:eastAsia="黑体"/>
          <w:bCs/>
          <w:snapToGrid w:val="0"/>
          <w:kern w:val="0"/>
          <w:sz w:val="28"/>
          <w:szCs w:val="28"/>
        </w:rPr>
        <w:t>十四、合同争议解决方式</w:t>
      </w:r>
      <w:r>
        <w:rPr>
          <w:rFonts w:hint="eastAsia" w:ascii="仿宋_GB2312" w:hAnsi="宋体" w:eastAsia="仿宋_GB2312"/>
          <w:snapToGrid w:val="0"/>
          <w:kern w:val="0"/>
          <w:sz w:val="28"/>
          <w:szCs w:val="28"/>
        </w:rPr>
        <w:t xml:space="preserve">  □甲乙双方协商解决　□提交甲方或乙方主管部门调解  □提交</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仲裁委员会仲裁  □依法向</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人民法院起诉。</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黑体" w:hAnsi="宋体" w:eastAsia="黑体"/>
          <w:bCs/>
          <w:snapToGrid w:val="0"/>
          <w:kern w:val="0"/>
          <w:sz w:val="28"/>
          <w:szCs w:val="28"/>
        </w:rPr>
        <w:t>十五、合同生效</w:t>
      </w:r>
      <w:r>
        <w:rPr>
          <w:rFonts w:hint="eastAsia" w:ascii="仿宋_GB2312" w:hAnsi="宋体" w:eastAsia="仿宋_GB2312"/>
          <w:snapToGrid w:val="0"/>
          <w:kern w:val="0"/>
          <w:sz w:val="28"/>
          <w:szCs w:val="28"/>
        </w:rPr>
        <w:t xml:space="preserve">  □草本合同由甲乙双方法定代表人或委托代理人签字并经单位盖章，由甲方报上级有关部门审批通过后，签订正式合同。</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□正式合同由甲乙双方法定代表人或委托代理人签字并经单位盖章后生效。</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仿宋_GB2312" w:hAnsi="宋体" w:eastAsia="仿宋_GB2312"/>
          <w:snapToGrid w:val="0"/>
          <w:kern w:val="0"/>
          <w:sz w:val="28"/>
          <w:szCs w:val="28"/>
        </w:rPr>
        <w:t>正式合同一式</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份，正本两份，甲乙双方各执一份，副本</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份，正副本合同具有同等法律效力。□合同有效期限</w:t>
      </w:r>
      <w:r>
        <w:rPr>
          <w:rFonts w:hint="eastAsia" w:ascii="仿宋_GB2312" w:hAnsi="宋体" w:eastAsia="仿宋_GB2312"/>
          <w:snapToGrid w:val="0"/>
          <w:kern w:val="0"/>
          <w:sz w:val="28"/>
          <w:szCs w:val="28"/>
          <w:u w:val="single"/>
        </w:rPr>
        <w:t xml:space="preserve">  </w:t>
      </w:r>
      <w:r>
        <w:rPr>
          <w:rFonts w:hint="eastAsia" w:ascii="仿宋_GB2312" w:hAnsi="宋体" w:eastAsia="仿宋_GB2312"/>
          <w:sz w:val="28"/>
          <w:szCs w:val="28"/>
          <w:u w:val="single"/>
        </w:rPr>
        <w:t xml:space="preserve">                        </w:t>
      </w:r>
      <w:r>
        <w:rPr>
          <w:rFonts w:hint="eastAsia" w:ascii="仿宋_GB2312" w:hAnsi="宋体" w:eastAsia="仿宋_GB2312"/>
          <w:snapToGrid w:val="0"/>
          <w:kern w:val="0"/>
          <w:sz w:val="28"/>
          <w:szCs w:val="28"/>
          <w:u w:val="single"/>
        </w:rPr>
        <w:t xml:space="preserve">  </w:t>
      </w:r>
      <w:r>
        <w:rPr>
          <w:rFonts w:hint="eastAsia" w:ascii="仿宋_GB2312" w:hAnsi="宋体" w:eastAsia="仿宋_GB2312"/>
          <w:snapToGrid w:val="0"/>
          <w:kern w:val="0"/>
          <w:sz w:val="28"/>
          <w:szCs w:val="28"/>
        </w:rPr>
        <w:t>。</w:t>
      </w:r>
    </w:p>
    <w:p>
      <w:pPr>
        <w:adjustRightInd w:val="0"/>
        <w:snapToGrid w:val="0"/>
        <w:spacing w:line="576" w:lineRule="exact"/>
        <w:ind w:firstLine="548" w:firstLineChars="196"/>
        <w:jc w:val="left"/>
        <w:rPr>
          <w:rFonts w:ascii="仿宋_GB2312" w:hAnsi="宋体" w:eastAsia="仿宋_GB2312"/>
          <w:snapToGrid w:val="0"/>
          <w:kern w:val="0"/>
          <w:sz w:val="28"/>
          <w:szCs w:val="28"/>
        </w:rPr>
      </w:pPr>
      <w:r>
        <w:rPr>
          <w:rFonts w:hint="eastAsia" w:ascii="黑体" w:hAnsi="宋体" w:eastAsia="黑体"/>
          <w:bCs/>
          <w:snapToGrid w:val="0"/>
          <w:kern w:val="0"/>
          <w:sz w:val="28"/>
          <w:szCs w:val="28"/>
        </w:rPr>
        <w:t>十六、</w:t>
      </w:r>
      <w:r>
        <w:rPr>
          <w:rFonts w:hint="eastAsia" w:ascii="黑体" w:hAnsi="宋体" w:eastAsia="黑体"/>
          <w:snapToGrid w:val="0"/>
          <w:kern w:val="0"/>
          <w:sz w:val="28"/>
          <w:szCs w:val="28"/>
        </w:rPr>
        <w:t>合同附件</w:t>
      </w:r>
      <w:r>
        <w:rPr>
          <w:rFonts w:hint="eastAsia" w:ascii="仿宋_GB2312" w:hAnsi="宋体" w:eastAsia="仿宋_GB2312"/>
          <w:snapToGrid w:val="0"/>
          <w:kern w:val="0"/>
          <w:sz w:val="28"/>
          <w:szCs w:val="28"/>
        </w:rPr>
        <w:t xml:space="preserve">  □</w:t>
      </w:r>
      <w:r>
        <w:rPr>
          <w:rFonts w:hint="eastAsia" w:ascii="仿宋_GB2312" w:hAnsi="宋体" w:eastAsia="仿宋_GB2312" w:cs="Times New Roman"/>
          <w:snapToGrid w:val="0"/>
          <w:kern w:val="0"/>
          <w:sz w:val="28"/>
          <w:szCs w:val="28"/>
        </w:rPr>
        <w:t>1.交货清单</w:t>
      </w:r>
      <w:r>
        <w:rPr>
          <w:rFonts w:hint="eastAsia" w:ascii="仿宋_GB2312" w:hAnsi="宋体" w:eastAsia="仿宋_GB2312"/>
          <w:snapToGrid w:val="0"/>
          <w:kern w:val="0"/>
          <w:sz w:val="28"/>
          <w:szCs w:val="28"/>
        </w:rPr>
        <w:t>□</w:t>
      </w:r>
      <w:r>
        <w:rPr>
          <w:rFonts w:hint="eastAsia" w:ascii="仿宋_GB2312" w:hAnsi="宋体" w:eastAsia="仿宋_GB2312" w:cs="Times New Roman"/>
          <w:snapToGrid w:val="0"/>
          <w:kern w:val="0"/>
          <w:sz w:val="28"/>
          <w:szCs w:val="28"/>
        </w:rPr>
        <w:t>2.主要技术指标参数</w:t>
      </w:r>
      <w:r>
        <w:rPr>
          <w:rFonts w:hint="eastAsia" w:ascii="仿宋_GB2312" w:hAnsi="宋体" w:eastAsia="仿宋_GB2312"/>
          <w:snapToGrid w:val="0"/>
          <w:kern w:val="0"/>
          <w:sz w:val="28"/>
          <w:szCs w:val="28"/>
        </w:rPr>
        <w:t>□</w:t>
      </w:r>
      <w:r>
        <w:rPr>
          <w:rFonts w:hint="eastAsia" w:ascii="仿宋_GB2312" w:hAnsi="宋体" w:eastAsia="仿宋_GB2312" w:cs="Times New Roman"/>
          <w:snapToGrid w:val="0"/>
          <w:kern w:val="0"/>
          <w:sz w:val="28"/>
          <w:szCs w:val="28"/>
        </w:rPr>
        <w:t>3.售后服务承诺□4.易损易耗件清单□详见供方参与采购方XXX项目（项目编号：XXX）响应文件和评审现场承诺，本合同不另附。</w:t>
      </w:r>
    </w:p>
    <w:p>
      <w:pPr>
        <w:adjustRightInd w:val="0"/>
        <w:snapToGrid w:val="0"/>
        <w:spacing w:line="576" w:lineRule="exact"/>
        <w:ind w:firstLine="548" w:firstLineChars="196"/>
        <w:jc w:val="left"/>
        <w:rPr>
          <w:rFonts w:ascii="仿宋_GB2312" w:hAnsi="宋体" w:eastAsia="仿宋_GB2312"/>
          <w:snapToGrid w:val="0"/>
          <w:kern w:val="0"/>
          <w:sz w:val="28"/>
          <w:szCs w:val="28"/>
          <w:u w:val="single"/>
        </w:rPr>
      </w:pPr>
      <w:r>
        <w:rPr>
          <w:rFonts w:hint="eastAsia" w:ascii="黑体" w:hAnsi="宋体" w:eastAsia="黑体"/>
          <w:bCs/>
          <w:snapToGrid w:val="0"/>
          <w:kern w:val="0"/>
          <w:sz w:val="28"/>
          <w:szCs w:val="28"/>
        </w:rPr>
        <w:t xml:space="preserve">十七、其    他 </w:t>
      </w:r>
      <w:r>
        <w:rPr>
          <w:rFonts w:hint="eastAsia" w:ascii="黑体" w:hAnsi="宋体" w:eastAsia="黑体"/>
          <w:snapToGrid w:val="0"/>
          <w:kern w:val="0"/>
          <w:sz w:val="28"/>
          <w:szCs w:val="28"/>
          <w:u w:val="single"/>
        </w:rPr>
        <w:t xml:space="preserve">               </w:t>
      </w:r>
      <w:r>
        <w:rPr>
          <w:rFonts w:hint="eastAsia" w:ascii="仿宋_GB2312" w:hAnsi="宋体" w:eastAsia="仿宋_GB2312"/>
          <w:snapToGrid w:val="0"/>
          <w:kern w:val="0"/>
          <w:sz w:val="28"/>
          <w:szCs w:val="28"/>
          <w:u w:val="single"/>
        </w:rPr>
        <w:t xml:space="preserve">  </w:t>
      </w:r>
    </w:p>
    <w:p>
      <w:pPr>
        <w:adjustRightInd w:val="0"/>
        <w:snapToGrid w:val="0"/>
        <w:spacing w:line="576" w:lineRule="exact"/>
        <w:ind w:firstLine="548" w:firstLineChars="196"/>
        <w:jc w:val="left"/>
        <w:rPr>
          <w:rFonts w:ascii="黑体" w:hAnsi="宋体" w:eastAsia="黑体"/>
          <w:snapToGrid w:val="0"/>
          <w:kern w:val="0"/>
          <w:sz w:val="28"/>
          <w:szCs w:val="28"/>
          <w:u w:val="single"/>
        </w:rPr>
      </w:pPr>
      <w:r>
        <w:rPr>
          <w:rFonts w:hint="eastAsia" w:ascii="黑体" w:hAnsi="宋体" w:eastAsia="黑体"/>
          <w:bCs/>
          <w:snapToGrid w:val="0"/>
          <w:kern w:val="0"/>
          <w:sz w:val="28"/>
          <w:szCs w:val="28"/>
        </w:rPr>
        <w:t>十八、</w:t>
      </w:r>
      <w:r>
        <w:rPr>
          <w:rFonts w:hint="eastAsia" w:ascii="仿宋_GB2312" w:hAnsi="宋体" w:eastAsia="仿宋_GB2312" w:cs="Times New Roman"/>
          <w:snapToGrid w:val="0"/>
          <w:kern w:val="0"/>
          <w:sz w:val="28"/>
          <w:szCs w:val="28"/>
        </w:rPr>
        <w:t>未尽事宜由甲乙双方协商确定。</w:t>
      </w:r>
    </w:p>
    <w:p>
      <w:pPr>
        <w:spacing w:line="576" w:lineRule="exact"/>
        <w:ind w:firstLine="560" w:firstLineChars="200"/>
        <w:rPr>
          <w:rFonts w:ascii="仿宋_GB2312" w:eastAsia="仿宋_GB2312"/>
          <w:sz w:val="28"/>
          <w:szCs w:val="28"/>
        </w:rPr>
        <w:sectPr>
          <w:headerReference r:id="rId7" w:type="default"/>
          <w:pgSz w:w="11906" w:h="16838"/>
          <w:pgMar w:top="1440" w:right="1440" w:bottom="1440" w:left="1440" w:header="851" w:footer="851" w:gutter="0"/>
          <w:cols w:space="720" w:num="1"/>
          <w:docGrid w:linePitch="579" w:charSpace="-1844"/>
        </w:sectPr>
      </w:pPr>
      <w:r>
        <w:rPr>
          <w:rFonts w:hint="eastAsia" w:ascii="黑体" w:eastAsia="黑体"/>
          <w:sz w:val="28"/>
          <w:szCs w:val="28"/>
        </w:rPr>
        <w:t>说明：</w:t>
      </w:r>
      <w:r>
        <w:rPr>
          <w:rFonts w:hint="eastAsia" w:ascii="仿宋_GB2312" w:eastAsia="仿宋_GB2312"/>
          <w:sz w:val="28"/>
          <w:szCs w:val="28"/>
        </w:rPr>
        <w:t>1.本合同以中文打印。在适用的条款“□”中打“√”，未包含内容在“□其它</w:t>
      </w:r>
      <w:r>
        <w:rPr>
          <w:rFonts w:hint="eastAsia" w:ascii="仿宋_GB2312" w:eastAsia="仿宋_GB2312"/>
          <w:sz w:val="28"/>
          <w:szCs w:val="28"/>
          <w:u w:val="single"/>
        </w:rPr>
        <w:t xml:space="preserve">     </w:t>
      </w:r>
      <w:r>
        <w:rPr>
          <w:rFonts w:hint="eastAsia" w:ascii="仿宋_GB2312" w:eastAsia="仿宋_GB2312"/>
          <w:sz w:val="28"/>
          <w:szCs w:val="28"/>
        </w:rPr>
        <w:t>”栏目中填写 2. 本合同依据《中华人民共和国合同法》制定。</w:t>
      </w:r>
    </w:p>
    <w:bookmarkEnd w:id="24"/>
    <w:bookmarkEnd w:id="25"/>
    <w:bookmarkEnd w:id="26"/>
    <w:bookmarkEnd w:id="27"/>
    <w:p>
      <w:pPr>
        <w:spacing w:line="560" w:lineRule="exact"/>
        <w:jc w:val="center"/>
        <w:outlineLvl w:val="0"/>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第五部分  附件/响应文件格式</w:t>
      </w:r>
    </w:p>
    <w:p>
      <w:pPr>
        <w:spacing w:line="580" w:lineRule="exact"/>
        <w:rPr>
          <w:rFonts w:ascii="Times New Roman" w:hAnsi="Times New Roman" w:eastAsia="宋体" w:cs="Times New Roman"/>
          <w:kern w:val="0"/>
          <w:sz w:val="28"/>
          <w:szCs w:val="28"/>
        </w:rPr>
      </w:pP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附件1：开标一览表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附件2：价格构成表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附件3：货物材料、部件、工具价格明细表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附件4：投标函</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附件5：货物简要说明一览表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附件6：主要技术性能参数表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附件7：技术指标参数响应偏离表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附件8：主要商务条款响应偏离表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附件9：交货清单</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0</w:t>
      </w:r>
      <w:r>
        <w:rPr>
          <w:rFonts w:hint="eastAsia" w:ascii="仿宋_GB2312" w:hAnsi="宋体" w:eastAsia="仿宋_GB2312" w:cs="Times New Roman"/>
          <w:kern w:val="0"/>
          <w:sz w:val="32"/>
          <w:szCs w:val="32"/>
        </w:rPr>
        <w:t>：谈判保证金</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1</w:t>
      </w:r>
      <w:r>
        <w:rPr>
          <w:rFonts w:hint="eastAsia" w:ascii="仿宋_GB2312" w:hAnsi="宋体" w:eastAsia="仿宋_GB2312" w:cs="Times New Roman"/>
          <w:kern w:val="0"/>
          <w:sz w:val="32"/>
          <w:szCs w:val="32"/>
        </w:rPr>
        <w:t>：整体实施计划及施工方案</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2</w:t>
      </w:r>
      <w:r>
        <w:rPr>
          <w:rFonts w:hint="eastAsia" w:ascii="仿宋_GB2312" w:hAnsi="宋体" w:eastAsia="仿宋_GB2312" w:cs="Times New Roman"/>
          <w:kern w:val="0"/>
          <w:sz w:val="32"/>
          <w:szCs w:val="32"/>
        </w:rPr>
        <w:t>：售后服务及承诺</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3</w:t>
      </w:r>
      <w:r>
        <w:rPr>
          <w:rFonts w:hint="eastAsia" w:ascii="仿宋_GB2312" w:hAnsi="宋体" w:eastAsia="仿宋_GB2312" w:cs="Times New Roman"/>
          <w:kern w:val="0"/>
          <w:sz w:val="32"/>
          <w:szCs w:val="32"/>
        </w:rPr>
        <w:t>：保密承诺书</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4</w:t>
      </w:r>
      <w:r>
        <w:rPr>
          <w:rFonts w:hint="eastAsia" w:ascii="仿宋_GB2312" w:hAnsi="宋体" w:eastAsia="仿宋_GB2312" w:cs="Times New Roman"/>
          <w:kern w:val="0"/>
          <w:sz w:val="32"/>
          <w:szCs w:val="32"/>
        </w:rPr>
        <w:t>：近3年中标成交案例及同类项目案例</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5</w:t>
      </w:r>
      <w:r>
        <w:rPr>
          <w:rFonts w:hint="eastAsia" w:ascii="仿宋_GB2312" w:hAnsi="宋体" w:eastAsia="仿宋_GB2312" w:cs="Times New Roman"/>
          <w:kern w:val="0"/>
          <w:sz w:val="32"/>
          <w:szCs w:val="32"/>
        </w:rPr>
        <w:t>：法定代表人资格证明书</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6</w:t>
      </w:r>
      <w:r>
        <w:rPr>
          <w:rFonts w:hint="eastAsia" w:ascii="仿宋_GB2312" w:hAnsi="宋体" w:eastAsia="仿宋_GB2312" w:cs="Times New Roman"/>
          <w:kern w:val="0"/>
          <w:sz w:val="32"/>
          <w:szCs w:val="32"/>
        </w:rPr>
        <w:t>：法定代表人授权书</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7</w:t>
      </w:r>
      <w:r>
        <w:rPr>
          <w:rFonts w:hint="eastAsia" w:ascii="仿宋_GB2312" w:hAnsi="宋体" w:eastAsia="仿宋_GB2312" w:cs="Times New Roman"/>
          <w:kern w:val="0"/>
          <w:sz w:val="32"/>
          <w:szCs w:val="32"/>
        </w:rPr>
        <w:t>：技术评审表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附件1</w:t>
      </w:r>
      <w:r>
        <w:rPr>
          <w:rFonts w:ascii="仿宋_GB2312" w:hAnsi="宋体" w:eastAsia="仿宋_GB2312" w:cs="Times New Roman"/>
          <w:kern w:val="0"/>
          <w:sz w:val="32"/>
          <w:szCs w:val="32"/>
        </w:rPr>
        <w:t>8</w:t>
      </w:r>
      <w:r>
        <w:rPr>
          <w:rFonts w:hint="eastAsia" w:ascii="仿宋_GB2312" w:hAnsi="宋体" w:eastAsia="仿宋_GB2312" w:cs="Times New Roman"/>
          <w:kern w:val="0"/>
          <w:sz w:val="32"/>
          <w:szCs w:val="32"/>
        </w:rPr>
        <w:t>：商务评审表</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附件</w:t>
      </w:r>
      <w:r>
        <w:rPr>
          <w:rFonts w:ascii="仿宋_GB2312" w:hAnsi="宋体" w:eastAsia="仿宋_GB2312" w:cs="Times New Roman"/>
          <w:kern w:val="0"/>
          <w:sz w:val="32"/>
          <w:szCs w:val="32"/>
        </w:rPr>
        <w:t>19</w:t>
      </w:r>
      <w:r>
        <w:rPr>
          <w:rFonts w:hint="eastAsia" w:ascii="仿宋_GB2312" w:hAnsi="宋体" w:eastAsia="仿宋_GB2312" w:cs="Times New Roman"/>
          <w:kern w:val="0"/>
          <w:sz w:val="32"/>
          <w:szCs w:val="32"/>
        </w:rPr>
        <w:t>：</w:t>
      </w:r>
      <w:r>
        <w:rPr>
          <w:rFonts w:ascii="仿宋_GB2312" w:hAnsi="宋体" w:eastAsia="仿宋_GB2312" w:cs="Times New Roman"/>
          <w:kern w:val="0"/>
          <w:sz w:val="32"/>
          <w:szCs w:val="32"/>
        </w:rPr>
        <w:t xml:space="preserve"> </w:t>
      </w:r>
      <w:r>
        <w:rPr>
          <w:rFonts w:hint="eastAsia" w:ascii="仿宋_GB2312" w:hAnsi="宋体" w:eastAsia="仿宋_GB2312" w:cs="Times New Roman"/>
          <w:kern w:val="0"/>
          <w:sz w:val="32"/>
          <w:szCs w:val="32"/>
        </w:rPr>
        <w:t>其他资</w:t>
      </w:r>
      <w:r>
        <w:rPr>
          <w:rFonts w:ascii="仿宋_GB2312" w:hAnsi="宋体" w:eastAsia="仿宋_GB2312" w:cs="Times New Roman"/>
          <w:kern w:val="0"/>
          <w:sz w:val="32"/>
          <w:szCs w:val="32"/>
        </w:rPr>
        <w:t>料</w:t>
      </w:r>
    </w:p>
    <w:p>
      <w:pPr>
        <w:ind w:firstLine="560" w:firstLineChars="200"/>
        <w:rPr>
          <w:rFonts w:ascii="宋体" w:hAnsi="宋体" w:eastAsia="宋体" w:cs="Times New Roman"/>
          <w:color w:val="0000FF"/>
          <w:kern w:val="0"/>
          <w:sz w:val="28"/>
          <w:szCs w:val="28"/>
        </w:rPr>
      </w:pPr>
    </w:p>
    <w:p>
      <w:pPr>
        <w:ind w:firstLine="560" w:firstLineChars="200"/>
        <w:rPr>
          <w:rFonts w:ascii="宋体" w:hAnsi="宋体" w:eastAsia="宋体" w:cs="Times New Roman"/>
          <w:color w:val="0000FF"/>
          <w:kern w:val="0"/>
          <w:sz w:val="28"/>
          <w:szCs w:val="28"/>
        </w:rPr>
        <w:sectPr>
          <w:pgSz w:w="11906" w:h="16838"/>
          <w:pgMar w:top="1440" w:right="1440" w:bottom="1440" w:left="1440" w:header="851" w:footer="851" w:gutter="0"/>
          <w:cols w:space="720" w:num="1"/>
          <w:docGrid w:linePitch="579" w:charSpace="-1844"/>
        </w:sectPr>
      </w:pPr>
    </w:p>
    <w:p>
      <w:pPr>
        <w:rPr>
          <w:rFonts w:ascii="黑体" w:hAnsi="黑体" w:eastAsia="黑体" w:cs="Times New Roman"/>
          <w:kern w:val="0"/>
          <w:sz w:val="32"/>
          <w:szCs w:val="32"/>
        </w:rPr>
      </w:pPr>
      <w:r>
        <w:rPr>
          <w:rFonts w:hint="eastAsia" w:ascii="黑体" w:hAnsi="黑体" w:eastAsia="黑体" w:cs="Times New Roman"/>
          <w:kern w:val="0"/>
          <w:sz w:val="32"/>
          <w:szCs w:val="32"/>
        </w:rPr>
        <w:t>附件1</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开标一览表</w:t>
      </w:r>
    </w:p>
    <w:p>
      <w:pPr>
        <w:rPr>
          <w:rFonts w:ascii="Times New Roman" w:hAnsi="Times New Roman" w:eastAsia="宋体" w:cs="Times New Roman"/>
          <w:kern w:val="0"/>
          <w:sz w:val="28"/>
          <w:szCs w:val="28"/>
        </w:rPr>
      </w:pPr>
    </w:p>
    <w:p>
      <w:pPr>
        <w:rPr>
          <w:rFonts w:ascii="宋体" w:hAnsi="宋体" w:eastAsia="宋体" w:cs="Times New Roman"/>
          <w:kern w:val="0"/>
          <w:sz w:val="24"/>
          <w:szCs w:val="24"/>
        </w:rPr>
      </w:pPr>
      <w:r>
        <w:rPr>
          <w:rFonts w:hint="eastAsia" w:ascii="宋体" w:hAnsi="宋体" w:eastAsia="宋体" w:cs="Times New Roman"/>
          <w:kern w:val="0"/>
          <w:sz w:val="24"/>
          <w:szCs w:val="24"/>
        </w:rPr>
        <w:t>项目名称：项目编号：                             金额单位：元</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9"/>
        <w:gridCol w:w="17"/>
        <w:gridCol w:w="1240"/>
        <w:gridCol w:w="882"/>
        <w:gridCol w:w="1302"/>
        <w:gridCol w:w="758"/>
        <w:gridCol w:w="740"/>
        <w:gridCol w:w="739"/>
        <w:gridCol w:w="762"/>
        <w:gridCol w:w="1008"/>
        <w:gridCol w:w="1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4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204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货物名称</w:t>
            </w:r>
          </w:p>
        </w:tc>
        <w:tc>
          <w:tcPr>
            <w:tcW w:w="14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品牌</w:t>
            </w:r>
          </w:p>
        </w:tc>
        <w:tc>
          <w:tcPr>
            <w:tcW w:w="216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规格型号</w:t>
            </w:r>
          </w:p>
        </w:tc>
        <w:tc>
          <w:tcPr>
            <w:tcW w:w="1178"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计量</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单位</w:t>
            </w:r>
          </w:p>
        </w:tc>
        <w:tc>
          <w:tcPr>
            <w:tcW w:w="114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数量</w:t>
            </w: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单价</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（含税）</w:t>
            </w:r>
          </w:p>
        </w:tc>
        <w:tc>
          <w:tcPr>
            <w:tcW w:w="1186"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金额</w:t>
            </w:r>
          </w:p>
          <w:p>
            <w:pPr>
              <w:spacing w:line="300" w:lineRule="exact"/>
              <w:jc w:val="center"/>
              <w:rPr>
                <w:rFonts w:ascii="宋体" w:hAnsi="宋体" w:eastAsia="宋体" w:cs="Times New Roman"/>
                <w:bCs/>
                <w:spacing w:val="-4"/>
                <w:kern w:val="0"/>
                <w:sz w:val="24"/>
                <w:szCs w:val="24"/>
              </w:rPr>
            </w:pPr>
            <w:r>
              <w:rPr>
                <w:rFonts w:hint="eastAsia" w:ascii="宋体" w:hAnsi="宋体" w:eastAsia="宋体" w:cs="Times New Roman"/>
                <w:kern w:val="0"/>
                <w:sz w:val="24"/>
                <w:szCs w:val="24"/>
              </w:rPr>
              <w:t>（含税）</w:t>
            </w:r>
          </w:p>
        </w:tc>
        <w:tc>
          <w:tcPr>
            <w:tcW w:w="163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交货时间</w:t>
            </w:r>
          </w:p>
        </w:tc>
        <w:tc>
          <w:tcPr>
            <w:tcW w:w="204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4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9"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40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78"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8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630"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0" w:type="dxa"/>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4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9"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40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78"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8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630"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0" w:type="dxa"/>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48"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9"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40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78"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8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630"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0" w:type="dxa"/>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2897"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b/>
                <w:kern w:val="0"/>
                <w:sz w:val="24"/>
                <w:szCs w:val="24"/>
              </w:rPr>
            </w:pPr>
            <w:r>
              <w:rPr>
                <w:rFonts w:hint="eastAsia" w:ascii="宋体" w:hAnsi="宋体" w:eastAsia="宋体" w:cs="Times New Roman"/>
                <w:kern w:val="0"/>
                <w:sz w:val="24"/>
                <w:szCs w:val="24"/>
              </w:rPr>
              <w:t>合计</w:t>
            </w:r>
          </w:p>
        </w:tc>
        <w:tc>
          <w:tcPr>
            <w:tcW w:w="140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78"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45"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186"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1630"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p>
        </w:tc>
        <w:tc>
          <w:tcPr>
            <w:tcW w:w="2040" w:type="dxa"/>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exact"/>
          <w:jc w:val="center"/>
        </w:trPr>
        <w:tc>
          <w:tcPr>
            <w:tcW w:w="821" w:type="dxa"/>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Cs/>
                <w:spacing w:val="-4"/>
                <w:kern w:val="0"/>
                <w:sz w:val="24"/>
                <w:szCs w:val="24"/>
              </w:rPr>
            </w:pPr>
          </w:p>
        </w:tc>
        <w:tc>
          <w:tcPr>
            <w:tcW w:w="2076" w:type="dxa"/>
            <w:gridSpan w:val="2"/>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bCs/>
                <w:spacing w:val="-4"/>
                <w:kern w:val="0"/>
                <w:sz w:val="24"/>
                <w:szCs w:val="24"/>
              </w:rPr>
            </w:pPr>
          </w:p>
        </w:tc>
        <w:tc>
          <w:tcPr>
            <w:tcW w:w="11889" w:type="dxa"/>
            <w:gridSpan w:val="8"/>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b/>
                <w:kern w:val="0"/>
                <w:sz w:val="24"/>
                <w:szCs w:val="24"/>
              </w:rPr>
            </w:pPr>
            <w:r>
              <w:rPr>
                <w:rFonts w:hint="eastAsia" w:ascii="宋体" w:hAnsi="宋体" w:eastAsia="宋体" w:cs="Times New Roman"/>
                <w:bCs/>
                <w:spacing w:val="-4"/>
                <w:kern w:val="0"/>
                <w:sz w:val="24"/>
                <w:szCs w:val="24"/>
              </w:rPr>
              <w:t>投标总价（人民币大写）：（小写）</w:t>
            </w:r>
            <w:r>
              <w:rPr>
                <w:rFonts w:ascii="宋体" w:hAnsi="宋体" w:eastAsia="宋体" w:cs="Times New Roman"/>
                <w:bCs/>
                <w:spacing w:val="-4"/>
                <w:kern w:val="0"/>
                <w:sz w:val="24"/>
                <w:szCs w:val="24"/>
              </w:rPr>
              <w:t>¥</w:t>
            </w:r>
            <w:r>
              <w:rPr>
                <w:rFonts w:hint="eastAsia" w:ascii="宋体" w:hAnsi="宋体" w:eastAsia="宋体" w:cs="Times New Roman"/>
                <w:bCs/>
                <w:spacing w:val="-4"/>
                <w:kern w:val="0"/>
                <w:sz w:val="24"/>
                <w:szCs w:val="24"/>
              </w:rPr>
              <w:t>：</w:t>
            </w:r>
          </w:p>
        </w:tc>
      </w:tr>
    </w:tbl>
    <w:p>
      <w:pPr>
        <w:rPr>
          <w:rFonts w:ascii="宋体" w:hAnsi="宋体" w:eastAsia="宋体" w:cs="Times New Roman"/>
          <w:kern w:val="0"/>
          <w:sz w:val="24"/>
          <w:szCs w:val="24"/>
        </w:rPr>
      </w:pPr>
      <w:r>
        <w:rPr>
          <w:rFonts w:hint="eastAsia" w:ascii="宋体" w:hAnsi="宋体" w:eastAsia="宋体" w:cs="Times New Roman"/>
          <w:kern w:val="0"/>
          <w:sz w:val="24"/>
          <w:szCs w:val="24"/>
        </w:rPr>
        <w:t>说明：金额</w:t>
      </w:r>
      <w:r>
        <w:rPr>
          <w:rFonts w:ascii="宋体" w:hAnsi="宋体" w:eastAsia="宋体" w:cs="Times New Roman"/>
          <w:kern w:val="0"/>
          <w:sz w:val="24"/>
          <w:szCs w:val="24"/>
        </w:rPr>
        <w:t>=</w:t>
      </w:r>
      <w:r>
        <w:rPr>
          <w:rFonts w:hint="eastAsia" w:ascii="宋体" w:hAnsi="宋体" w:eastAsia="宋体" w:cs="Times New Roman"/>
          <w:kern w:val="0"/>
          <w:sz w:val="24"/>
          <w:szCs w:val="24"/>
        </w:rPr>
        <w:t>单价</w:t>
      </w:r>
      <w:r>
        <w:rPr>
          <w:rFonts w:ascii="宋体" w:hAnsi="宋体" w:eastAsia="宋体" w:cs="Times New Roman"/>
          <w:kern w:val="0"/>
          <w:sz w:val="24"/>
          <w:szCs w:val="24"/>
        </w:rPr>
        <w:t>×</w:t>
      </w:r>
      <w:r>
        <w:rPr>
          <w:rFonts w:hint="eastAsia" w:ascii="宋体" w:hAnsi="宋体" w:eastAsia="宋体" w:cs="Times New Roman"/>
          <w:kern w:val="0"/>
          <w:sz w:val="24"/>
          <w:szCs w:val="24"/>
        </w:rPr>
        <w:t>数量，投标总价</w:t>
      </w:r>
      <w:r>
        <w:rPr>
          <w:rFonts w:ascii="宋体" w:hAnsi="宋体" w:eastAsia="宋体" w:cs="Times New Roman"/>
          <w:kern w:val="0"/>
          <w:sz w:val="24"/>
          <w:szCs w:val="24"/>
        </w:rPr>
        <w:t>=</w:t>
      </w:r>
      <w:r>
        <w:rPr>
          <w:rFonts w:hint="eastAsia" w:ascii="宋体" w:hAnsi="宋体" w:eastAsia="宋体" w:cs="Times New Roman"/>
          <w:kern w:val="0"/>
          <w:sz w:val="24"/>
          <w:szCs w:val="24"/>
        </w:rPr>
        <w:t>金额之和。</w:t>
      </w: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r>
        <w:rPr>
          <w:rFonts w:hint="eastAsia" w:ascii="宋体" w:hAnsi="宋体" w:eastAsia="宋体" w:cs="Times New Roman"/>
          <w:kern w:val="0"/>
          <w:sz w:val="24"/>
          <w:szCs w:val="24"/>
        </w:rPr>
        <w:t>供应商全称：（盖章）法定代表人（或授权代表）：（签字）</w:t>
      </w:r>
    </w:p>
    <w:p>
      <w:pPr>
        <w:rPr>
          <w:rFonts w:ascii="宋体" w:hAnsi="宋体" w:eastAsia="宋体" w:cs="Times New Roman"/>
          <w:kern w:val="0"/>
          <w:sz w:val="24"/>
          <w:szCs w:val="24"/>
        </w:rPr>
      </w:pPr>
    </w:p>
    <w:p>
      <w:pPr>
        <w:rPr>
          <w:rFonts w:ascii="宋体" w:hAnsi="宋体" w:eastAsia="宋体" w:cs="Times New Roman"/>
          <w:kern w:val="0"/>
          <w:sz w:val="24"/>
          <w:szCs w:val="24"/>
        </w:rPr>
      </w:pPr>
    </w:p>
    <w:p>
      <w:pPr>
        <w:jc w:val="center"/>
        <w:rPr>
          <w:rFonts w:ascii="宋体" w:hAnsi="宋体" w:eastAsia="宋体" w:cs="Times New Roman"/>
          <w:kern w:val="0"/>
          <w:sz w:val="24"/>
          <w:szCs w:val="24"/>
        </w:rPr>
      </w:pPr>
      <w:r>
        <w:rPr>
          <w:rFonts w:hint="eastAsia" w:ascii="宋体" w:hAnsi="宋体" w:eastAsia="宋体" w:cs="Times New Roman"/>
          <w:kern w:val="0"/>
          <w:sz w:val="24"/>
          <w:szCs w:val="24"/>
        </w:rPr>
        <w:t xml:space="preserve">       年  </w:t>
      </w:r>
      <w:r>
        <w:rPr>
          <w:rFonts w:ascii="宋体" w:hAnsi="宋体" w:eastAsia="宋体" w:cs="Times New Roman"/>
          <w:kern w:val="0"/>
          <w:sz w:val="24"/>
          <w:szCs w:val="24"/>
        </w:rPr>
        <w:t xml:space="preserve"> </w:t>
      </w:r>
      <w:r>
        <w:rPr>
          <w:rFonts w:hint="eastAsia" w:ascii="宋体" w:hAnsi="宋体" w:eastAsia="宋体" w:cs="Times New Roman"/>
          <w:kern w:val="0"/>
          <w:sz w:val="24"/>
          <w:szCs w:val="24"/>
        </w:rPr>
        <w:t>月   日</w:t>
      </w:r>
    </w:p>
    <w:p>
      <w:pPr>
        <w:rPr>
          <w:rFonts w:ascii="宋体" w:hAnsi="宋体" w:eastAsia="宋体" w:cs="Times New Roman"/>
          <w:color w:val="0000FF"/>
          <w:kern w:val="0"/>
          <w:sz w:val="24"/>
          <w:szCs w:val="24"/>
        </w:rPr>
      </w:pPr>
    </w:p>
    <w:p>
      <w:pPr>
        <w:rPr>
          <w:rFonts w:ascii="黑体" w:hAnsi="黑体" w:eastAsia="黑体" w:cs="Times New Roman"/>
          <w:color w:val="0000FF"/>
          <w:kern w:val="0"/>
          <w:sz w:val="28"/>
          <w:szCs w:val="28"/>
        </w:rPr>
        <w:sectPr>
          <w:headerReference r:id="rId8" w:type="default"/>
          <w:pgSz w:w="11906" w:h="16838"/>
          <w:pgMar w:top="1440" w:right="1440" w:bottom="1440" w:left="1440" w:header="851" w:footer="964" w:gutter="0"/>
          <w:cols w:space="720" w:num="1"/>
          <w:docGrid w:linePitch="510" w:charSpace="-1844"/>
        </w:sectPr>
      </w:pPr>
    </w:p>
    <w:p>
      <w:pPr>
        <w:rPr>
          <w:rFonts w:ascii="黑体" w:hAnsi="黑体" w:eastAsia="黑体" w:cs="Times New Roman"/>
          <w:color w:val="0000FF"/>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附件2</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价格构成表（无须提供）</w:t>
      </w:r>
    </w:p>
    <w:p>
      <w:pPr>
        <w:tabs>
          <w:tab w:val="left" w:pos="1215"/>
        </w:tabs>
        <w:jc w:val="left"/>
        <w:rPr>
          <w:rFonts w:ascii="宋体" w:hAnsi="宋体" w:eastAsia="宋体" w:cs="Times New Roman"/>
          <w:kern w:val="0"/>
          <w:sz w:val="24"/>
          <w:szCs w:val="24"/>
        </w:rPr>
      </w:pPr>
      <w:r>
        <w:rPr>
          <w:rFonts w:ascii="宋体" w:hAnsi="宋体" w:eastAsia="宋体" w:cs="Times New Roman"/>
          <w:kern w:val="0"/>
          <w:sz w:val="24"/>
          <w:szCs w:val="24"/>
        </w:rPr>
        <w:tab/>
      </w:r>
    </w:p>
    <w:p>
      <w:pPr>
        <w:jc w:val="left"/>
        <w:rPr>
          <w:rFonts w:ascii="宋体" w:hAnsi="宋体" w:eastAsia="宋体" w:cs="Times New Roman"/>
          <w:kern w:val="0"/>
          <w:sz w:val="24"/>
          <w:szCs w:val="24"/>
        </w:rPr>
      </w:pPr>
      <w:r>
        <w:rPr>
          <w:rFonts w:hint="eastAsia" w:ascii="宋体" w:hAnsi="宋体" w:eastAsia="宋体" w:cs="Times New Roman"/>
          <w:kern w:val="0"/>
          <w:sz w:val="24"/>
          <w:szCs w:val="24"/>
        </w:rPr>
        <w:t xml:space="preserve">项目名称：                </w:t>
      </w:r>
      <w:r>
        <w:rPr>
          <w:rFonts w:hint="eastAsia" w:ascii="宋体" w:hAnsi="宋体" w:eastAsia="宋体" w:cs="Times New Roman"/>
          <w:spacing w:val="8"/>
          <w:kern w:val="0"/>
          <w:sz w:val="24"/>
          <w:szCs w:val="24"/>
        </w:rPr>
        <w:t>项目编</w:t>
      </w:r>
      <w:r>
        <w:rPr>
          <w:rFonts w:hint="eastAsia" w:ascii="宋体" w:hAnsi="宋体" w:eastAsia="宋体" w:cs="Times New Roman"/>
          <w:kern w:val="0"/>
          <w:sz w:val="24"/>
          <w:szCs w:val="24"/>
        </w:rPr>
        <w:t>号：                     金额单位：元</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617"/>
        <w:gridCol w:w="520"/>
        <w:gridCol w:w="521"/>
        <w:gridCol w:w="470"/>
        <w:gridCol w:w="474"/>
        <w:gridCol w:w="534"/>
        <w:gridCol w:w="474"/>
        <w:gridCol w:w="474"/>
        <w:gridCol w:w="474"/>
        <w:gridCol w:w="534"/>
        <w:gridCol w:w="474"/>
        <w:gridCol w:w="474"/>
        <w:gridCol w:w="474"/>
        <w:gridCol w:w="534"/>
        <w:gridCol w:w="534"/>
        <w:gridCol w:w="474"/>
        <w:gridCol w:w="4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287"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货物</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名称</w:t>
            </w:r>
          </w:p>
        </w:tc>
        <w:tc>
          <w:tcPr>
            <w:tcW w:w="98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规格</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型号</w:t>
            </w:r>
          </w:p>
        </w:tc>
        <w:tc>
          <w:tcPr>
            <w:tcW w:w="79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计量</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单位</w:t>
            </w:r>
          </w:p>
        </w:tc>
        <w:tc>
          <w:tcPr>
            <w:tcW w:w="794"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数</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量</w:t>
            </w:r>
          </w:p>
        </w:tc>
        <w:tc>
          <w:tcPr>
            <w:tcW w:w="69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总价</w:t>
            </w:r>
          </w:p>
        </w:tc>
        <w:tc>
          <w:tcPr>
            <w:tcW w:w="9477" w:type="dxa"/>
            <w:gridSpan w:val="13"/>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价格组成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128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Times New Roman"/>
                <w:kern w:val="0"/>
                <w:sz w:val="24"/>
                <w:szCs w:val="24"/>
              </w:rPr>
            </w:pPr>
          </w:p>
        </w:tc>
        <w:tc>
          <w:tcPr>
            <w:tcW w:w="98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Times New Roman"/>
                <w:kern w:val="0"/>
                <w:sz w:val="24"/>
                <w:szCs w:val="24"/>
              </w:rPr>
            </w:pPr>
          </w:p>
        </w:tc>
        <w:tc>
          <w:tcPr>
            <w:tcW w:w="79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Times New Roman"/>
                <w:kern w:val="0"/>
                <w:sz w:val="24"/>
                <w:szCs w:val="24"/>
              </w:rPr>
            </w:pPr>
          </w:p>
        </w:tc>
        <w:tc>
          <w:tcPr>
            <w:tcW w:w="79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Times New Roman"/>
                <w:kern w:val="0"/>
                <w:sz w:val="24"/>
                <w:szCs w:val="24"/>
              </w:rPr>
            </w:pPr>
          </w:p>
        </w:tc>
        <w:tc>
          <w:tcPr>
            <w:tcW w:w="69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单价</w:t>
            </w: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直接材料费</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外购成件费</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燃料及动力费</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直接人工费</w:t>
            </w: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废品损失费</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管理费用</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利润</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税金</w:t>
            </w: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备件工具费</w:t>
            </w: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安装调试费</w:t>
            </w:r>
          </w:p>
        </w:tc>
        <w:tc>
          <w:tcPr>
            <w:tcW w:w="70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技术服务费</w:t>
            </w:r>
          </w:p>
        </w:tc>
        <w:tc>
          <w:tcPr>
            <w:tcW w:w="585"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运杂费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w:t>
            </w:r>
          </w:p>
        </w:tc>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2</w:t>
            </w: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3</w:t>
            </w: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4</w:t>
            </w:r>
          </w:p>
        </w:tc>
        <w:tc>
          <w:tcPr>
            <w:tcW w:w="69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5</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6</w:t>
            </w: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7</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8</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9</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10</w:t>
            </w: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11</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12</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13</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14</w:t>
            </w: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15</w:t>
            </w: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16</w:t>
            </w: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17</w:t>
            </w:r>
          </w:p>
        </w:tc>
        <w:tc>
          <w:tcPr>
            <w:tcW w:w="58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ascii="宋体" w:hAnsi="宋体" w:eastAsia="宋体" w:cs="Times New Roman"/>
                <w:kern w:val="0"/>
                <w:sz w:val="24"/>
                <w:szCs w:val="24"/>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2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69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58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2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69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58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2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98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9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69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81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70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58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4031" w:type="dxa"/>
            <w:gridSpan w:val="18"/>
            <w:tcBorders>
              <w:top w:val="single" w:color="auto" w:sz="4" w:space="0"/>
              <w:left w:val="single" w:color="auto" w:sz="4" w:space="0"/>
              <w:bottom w:val="single" w:color="auto" w:sz="4" w:space="0"/>
              <w:right w:val="single" w:color="auto" w:sz="4" w:space="0"/>
            </w:tcBorders>
            <w:vAlign w:val="center"/>
          </w:tcPr>
          <w:p>
            <w:pPr>
              <w:spacing w:line="300" w:lineRule="exact"/>
              <w:rPr>
                <w:rFonts w:ascii="宋体" w:hAnsi="宋体" w:eastAsia="宋体" w:cs="Times New Roman"/>
                <w:kern w:val="0"/>
                <w:sz w:val="24"/>
                <w:szCs w:val="24"/>
              </w:rPr>
            </w:pPr>
            <w:r>
              <w:rPr>
                <w:rFonts w:hint="eastAsia" w:ascii="宋体" w:hAnsi="宋体" w:eastAsia="宋体" w:cs="Times New Roman"/>
                <w:kern w:val="0"/>
                <w:sz w:val="24"/>
                <w:szCs w:val="24"/>
              </w:rPr>
              <w:t>货物总金额（大写人民币）：（</w:t>
            </w:r>
            <w:r>
              <w:rPr>
                <w:rFonts w:ascii="宋体" w:hAnsi="宋体" w:eastAsia="宋体" w:cs="Times New Roman"/>
                <w:bCs/>
                <w:spacing w:val="-4"/>
                <w:kern w:val="0"/>
                <w:sz w:val="24"/>
                <w:szCs w:val="24"/>
              </w:rPr>
              <w:t>¥</w:t>
            </w:r>
            <w:r>
              <w:rPr>
                <w:rFonts w:hint="eastAsia" w:ascii="宋体" w:hAnsi="宋体" w:eastAsia="宋体" w:cs="Times New Roman"/>
                <w:bCs/>
                <w:spacing w:val="-4"/>
                <w:kern w:val="0"/>
                <w:sz w:val="24"/>
                <w:szCs w:val="24"/>
              </w:rPr>
              <w:t>：</w:t>
            </w:r>
            <w:r>
              <w:rPr>
                <w:rFonts w:hint="eastAsia" w:ascii="宋体" w:hAnsi="宋体" w:eastAsia="宋体" w:cs="Times New Roman"/>
                <w:kern w:val="0"/>
                <w:sz w:val="24"/>
                <w:szCs w:val="24"/>
              </w:rPr>
              <w:t>）</w:t>
            </w:r>
          </w:p>
        </w:tc>
      </w:tr>
    </w:tbl>
    <w:p>
      <w:pPr>
        <w:rPr>
          <w:rFonts w:ascii="宋体" w:hAnsi="宋体" w:eastAsia="宋体" w:cs="Times New Roman"/>
          <w:kern w:val="0"/>
          <w:sz w:val="24"/>
          <w:szCs w:val="24"/>
        </w:rPr>
      </w:pPr>
      <w:r>
        <w:rPr>
          <w:rFonts w:hint="eastAsia" w:ascii="宋体" w:hAnsi="宋体" w:eastAsia="宋体" w:cs="Times New Roman"/>
          <w:kern w:val="0"/>
          <w:sz w:val="24"/>
          <w:szCs w:val="24"/>
        </w:rPr>
        <w:t>说明：</w:t>
      </w:r>
      <w:r>
        <w:rPr>
          <w:rFonts w:ascii="宋体" w:hAnsi="宋体" w:eastAsia="宋体" w:cs="Times New Roman"/>
          <w:kern w:val="0"/>
          <w:sz w:val="24"/>
          <w:szCs w:val="24"/>
        </w:rPr>
        <w:t>1.</w:t>
      </w:r>
      <w:r>
        <w:rPr>
          <w:rFonts w:hint="eastAsia" w:ascii="宋体" w:hAnsi="宋体" w:eastAsia="宋体" w:cs="Times New Roman"/>
          <w:kern w:val="0"/>
          <w:sz w:val="24"/>
          <w:szCs w:val="24"/>
        </w:rPr>
        <w:t>项</w:t>
      </w:r>
      <w:r>
        <w:rPr>
          <w:rFonts w:ascii="宋体" w:hAnsi="宋体" w:eastAsia="宋体" w:cs="Times New Roman"/>
          <w:kern w:val="0"/>
          <w:sz w:val="24"/>
          <w:szCs w:val="24"/>
        </w:rPr>
        <w:t>5=</w:t>
      </w:r>
      <w:r>
        <w:rPr>
          <w:rFonts w:hint="eastAsia" w:ascii="宋体" w:hAnsi="宋体" w:eastAsia="宋体" w:cs="Times New Roman"/>
          <w:kern w:val="0"/>
          <w:sz w:val="24"/>
          <w:szCs w:val="24"/>
        </w:rPr>
        <w:t>项</w:t>
      </w:r>
      <w:r>
        <w:rPr>
          <w:rFonts w:ascii="宋体" w:hAnsi="宋体" w:eastAsia="宋体" w:cs="Times New Roman"/>
          <w:kern w:val="0"/>
          <w:sz w:val="24"/>
          <w:szCs w:val="24"/>
        </w:rPr>
        <w:t>6×</w:t>
      </w:r>
      <w:r>
        <w:rPr>
          <w:rFonts w:hint="eastAsia" w:ascii="宋体" w:hAnsi="宋体" w:eastAsia="宋体" w:cs="Times New Roman"/>
          <w:kern w:val="0"/>
          <w:sz w:val="24"/>
          <w:szCs w:val="24"/>
        </w:rPr>
        <w:t>项</w:t>
      </w:r>
      <w:r>
        <w:rPr>
          <w:rFonts w:ascii="宋体" w:hAnsi="宋体" w:eastAsia="宋体" w:cs="Times New Roman"/>
          <w:kern w:val="0"/>
          <w:sz w:val="24"/>
          <w:szCs w:val="24"/>
        </w:rPr>
        <w:t>4</w:t>
      </w:r>
    </w:p>
    <w:p>
      <w:pPr>
        <w:rPr>
          <w:rFonts w:ascii="宋体" w:hAnsi="宋体" w:eastAsia="宋体" w:cs="Times New Roman"/>
          <w:kern w:val="0"/>
          <w:sz w:val="24"/>
          <w:szCs w:val="24"/>
        </w:rPr>
      </w:pPr>
      <w:r>
        <w:rPr>
          <w:rFonts w:ascii="宋体" w:hAnsi="宋体" w:eastAsia="宋体" w:cs="Times New Roman"/>
          <w:kern w:val="0"/>
          <w:sz w:val="24"/>
          <w:szCs w:val="24"/>
        </w:rPr>
        <w:t>2.</w:t>
      </w:r>
      <w:r>
        <w:rPr>
          <w:rFonts w:hint="eastAsia" w:ascii="宋体" w:hAnsi="宋体" w:eastAsia="宋体" w:cs="Times New Roman"/>
          <w:kern w:val="0"/>
          <w:sz w:val="24"/>
          <w:szCs w:val="24"/>
        </w:rPr>
        <w:t>项</w:t>
      </w:r>
      <w:r>
        <w:rPr>
          <w:rFonts w:ascii="宋体" w:hAnsi="宋体" w:eastAsia="宋体" w:cs="Times New Roman"/>
          <w:kern w:val="0"/>
          <w:sz w:val="24"/>
          <w:szCs w:val="24"/>
        </w:rPr>
        <w:t>6=</w:t>
      </w:r>
      <w:r>
        <w:rPr>
          <w:rFonts w:hint="eastAsia" w:ascii="宋体" w:hAnsi="宋体" w:eastAsia="宋体" w:cs="Times New Roman"/>
          <w:kern w:val="0"/>
          <w:sz w:val="24"/>
          <w:szCs w:val="24"/>
        </w:rPr>
        <w:t>项</w:t>
      </w:r>
      <w:r>
        <w:rPr>
          <w:rFonts w:ascii="宋体" w:hAnsi="宋体" w:eastAsia="宋体" w:cs="Times New Roman"/>
          <w:kern w:val="0"/>
          <w:sz w:val="24"/>
          <w:szCs w:val="24"/>
        </w:rPr>
        <w:t>7+</w:t>
      </w:r>
      <w:r>
        <w:rPr>
          <w:rFonts w:hint="eastAsia" w:ascii="宋体" w:hAnsi="宋体" w:eastAsia="宋体" w:cs="Times New Roman"/>
          <w:kern w:val="0"/>
          <w:sz w:val="24"/>
          <w:szCs w:val="24"/>
        </w:rPr>
        <w:t>项</w:t>
      </w:r>
      <w:r>
        <w:rPr>
          <w:rFonts w:ascii="宋体" w:hAnsi="宋体" w:eastAsia="宋体" w:cs="Times New Roman"/>
          <w:kern w:val="0"/>
          <w:sz w:val="24"/>
          <w:szCs w:val="24"/>
        </w:rPr>
        <w:t>8+</w:t>
      </w:r>
      <w:r>
        <w:rPr>
          <w:rFonts w:hint="eastAsia" w:ascii="宋体" w:hAnsi="宋体" w:eastAsia="宋体" w:cs="Times New Roman"/>
          <w:kern w:val="0"/>
          <w:sz w:val="24"/>
          <w:szCs w:val="24"/>
        </w:rPr>
        <w:t>项</w:t>
      </w:r>
      <w:r>
        <w:rPr>
          <w:rFonts w:ascii="宋体" w:hAnsi="宋体" w:eastAsia="宋体" w:cs="Times New Roman"/>
          <w:kern w:val="0"/>
          <w:sz w:val="24"/>
          <w:szCs w:val="24"/>
        </w:rPr>
        <w:t>9+</w:t>
      </w:r>
      <w:r>
        <w:rPr>
          <w:rFonts w:hint="eastAsia" w:ascii="宋体" w:hAnsi="宋体" w:eastAsia="宋体" w:cs="Times New Roman"/>
          <w:kern w:val="0"/>
          <w:sz w:val="24"/>
          <w:szCs w:val="24"/>
        </w:rPr>
        <w:t>项</w:t>
      </w:r>
      <w:r>
        <w:rPr>
          <w:rFonts w:ascii="宋体" w:hAnsi="宋体" w:eastAsia="宋体" w:cs="Times New Roman"/>
          <w:kern w:val="0"/>
          <w:sz w:val="24"/>
          <w:szCs w:val="24"/>
        </w:rPr>
        <w:t>10+</w:t>
      </w:r>
      <w:r>
        <w:rPr>
          <w:rFonts w:hint="eastAsia" w:ascii="宋体" w:hAnsi="宋体" w:eastAsia="宋体" w:cs="Times New Roman"/>
          <w:kern w:val="0"/>
          <w:sz w:val="24"/>
          <w:szCs w:val="24"/>
        </w:rPr>
        <w:t>项</w:t>
      </w:r>
      <w:r>
        <w:rPr>
          <w:rFonts w:ascii="宋体" w:hAnsi="宋体" w:eastAsia="宋体" w:cs="Times New Roman"/>
          <w:kern w:val="0"/>
          <w:sz w:val="24"/>
          <w:szCs w:val="24"/>
        </w:rPr>
        <w:t>11+</w:t>
      </w:r>
      <w:r>
        <w:rPr>
          <w:rFonts w:hint="eastAsia" w:ascii="宋体" w:hAnsi="宋体" w:eastAsia="宋体" w:cs="Times New Roman"/>
          <w:kern w:val="0"/>
          <w:sz w:val="24"/>
          <w:szCs w:val="24"/>
        </w:rPr>
        <w:t>项</w:t>
      </w:r>
      <w:r>
        <w:rPr>
          <w:rFonts w:ascii="宋体" w:hAnsi="宋体" w:eastAsia="宋体" w:cs="Times New Roman"/>
          <w:kern w:val="0"/>
          <w:sz w:val="24"/>
          <w:szCs w:val="24"/>
        </w:rPr>
        <w:t>12+</w:t>
      </w:r>
      <w:r>
        <w:rPr>
          <w:rFonts w:hint="eastAsia" w:ascii="宋体" w:hAnsi="宋体" w:eastAsia="宋体" w:cs="Times New Roman"/>
          <w:kern w:val="0"/>
          <w:sz w:val="24"/>
          <w:szCs w:val="24"/>
        </w:rPr>
        <w:t>项</w:t>
      </w:r>
      <w:r>
        <w:rPr>
          <w:rFonts w:ascii="宋体" w:hAnsi="宋体" w:eastAsia="宋体" w:cs="Times New Roman"/>
          <w:kern w:val="0"/>
          <w:sz w:val="24"/>
          <w:szCs w:val="24"/>
        </w:rPr>
        <w:t>13+</w:t>
      </w:r>
      <w:r>
        <w:rPr>
          <w:rFonts w:hint="eastAsia" w:ascii="宋体" w:hAnsi="宋体" w:eastAsia="宋体" w:cs="Times New Roman"/>
          <w:kern w:val="0"/>
          <w:sz w:val="24"/>
          <w:szCs w:val="24"/>
        </w:rPr>
        <w:t>项</w:t>
      </w:r>
      <w:r>
        <w:rPr>
          <w:rFonts w:ascii="宋体" w:hAnsi="宋体" w:eastAsia="宋体" w:cs="Times New Roman"/>
          <w:kern w:val="0"/>
          <w:sz w:val="24"/>
          <w:szCs w:val="24"/>
        </w:rPr>
        <w:t>14+</w:t>
      </w:r>
      <w:r>
        <w:rPr>
          <w:rFonts w:hint="eastAsia" w:ascii="宋体" w:hAnsi="宋体" w:eastAsia="宋体" w:cs="Times New Roman"/>
          <w:kern w:val="0"/>
          <w:sz w:val="24"/>
          <w:szCs w:val="24"/>
        </w:rPr>
        <w:t>项</w:t>
      </w:r>
      <w:r>
        <w:rPr>
          <w:rFonts w:ascii="宋体" w:hAnsi="宋体" w:eastAsia="宋体" w:cs="Times New Roman"/>
          <w:kern w:val="0"/>
          <w:sz w:val="24"/>
          <w:szCs w:val="24"/>
        </w:rPr>
        <w:t>15+</w:t>
      </w:r>
      <w:r>
        <w:rPr>
          <w:rFonts w:hint="eastAsia" w:ascii="宋体" w:hAnsi="宋体" w:eastAsia="宋体" w:cs="Times New Roman"/>
          <w:kern w:val="0"/>
          <w:sz w:val="24"/>
          <w:szCs w:val="24"/>
        </w:rPr>
        <w:t>项</w:t>
      </w:r>
      <w:r>
        <w:rPr>
          <w:rFonts w:ascii="宋体" w:hAnsi="宋体" w:eastAsia="宋体" w:cs="Times New Roman"/>
          <w:kern w:val="0"/>
          <w:sz w:val="24"/>
          <w:szCs w:val="24"/>
        </w:rPr>
        <w:t>16+</w:t>
      </w:r>
      <w:r>
        <w:rPr>
          <w:rFonts w:hint="eastAsia" w:ascii="宋体" w:hAnsi="宋体" w:eastAsia="宋体" w:cs="Times New Roman"/>
          <w:kern w:val="0"/>
          <w:sz w:val="24"/>
          <w:szCs w:val="24"/>
        </w:rPr>
        <w:t>项</w:t>
      </w:r>
      <w:r>
        <w:rPr>
          <w:rFonts w:ascii="宋体" w:hAnsi="宋体" w:eastAsia="宋体" w:cs="Times New Roman"/>
          <w:kern w:val="0"/>
          <w:sz w:val="24"/>
          <w:szCs w:val="24"/>
        </w:rPr>
        <w:t>17+</w:t>
      </w:r>
      <w:r>
        <w:rPr>
          <w:rFonts w:hint="eastAsia" w:ascii="宋体" w:hAnsi="宋体" w:eastAsia="宋体" w:cs="Times New Roman"/>
          <w:kern w:val="0"/>
          <w:sz w:val="24"/>
          <w:szCs w:val="24"/>
        </w:rPr>
        <w:t>项</w:t>
      </w:r>
      <w:r>
        <w:rPr>
          <w:rFonts w:ascii="宋体" w:hAnsi="宋体" w:eastAsia="宋体" w:cs="Times New Roman"/>
          <w:kern w:val="0"/>
          <w:sz w:val="24"/>
          <w:szCs w:val="24"/>
        </w:rPr>
        <w:t xml:space="preserve">18 </w:t>
      </w: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p>
    <w:p>
      <w:pPr>
        <w:rPr>
          <w:rFonts w:ascii="宋体" w:hAnsi="宋体" w:eastAsia="宋体" w:cs="Times New Roman"/>
          <w:kern w:val="0"/>
          <w:sz w:val="24"/>
          <w:szCs w:val="24"/>
        </w:rPr>
      </w:pPr>
      <w:r>
        <w:rPr>
          <w:rFonts w:hint="eastAsia" w:ascii="宋体" w:hAnsi="宋体" w:eastAsia="宋体" w:cs="Times New Roman"/>
          <w:kern w:val="0"/>
          <w:sz w:val="24"/>
          <w:szCs w:val="24"/>
        </w:rPr>
        <w:t>供应商全称：（盖章）法定代表人（或授权代表）：（签字）</w:t>
      </w:r>
    </w:p>
    <w:p>
      <w:pPr>
        <w:rPr>
          <w:rFonts w:ascii="宋体" w:hAnsi="宋体" w:eastAsia="宋体" w:cs="Times New Roman"/>
          <w:kern w:val="0"/>
          <w:sz w:val="24"/>
          <w:szCs w:val="24"/>
        </w:rPr>
      </w:pPr>
    </w:p>
    <w:p>
      <w:pPr>
        <w:ind w:firstLine="480" w:firstLineChars="200"/>
        <w:rPr>
          <w:rFonts w:ascii="宋体" w:hAnsi="宋体" w:eastAsia="宋体" w:cs="Times New Roman"/>
          <w:kern w:val="0"/>
          <w:sz w:val="24"/>
          <w:szCs w:val="24"/>
        </w:rPr>
      </w:pPr>
    </w:p>
    <w:p>
      <w:pPr>
        <w:jc w:val="center"/>
        <w:rPr>
          <w:rFonts w:ascii="宋体" w:hAnsi="宋体" w:eastAsia="宋体" w:cs="Times New Roman"/>
          <w:kern w:val="0"/>
          <w:sz w:val="24"/>
          <w:szCs w:val="24"/>
        </w:rPr>
      </w:pPr>
      <w:r>
        <w:rPr>
          <w:rFonts w:hint="eastAsia" w:ascii="宋体" w:hAnsi="宋体" w:eastAsia="宋体" w:cs="Times New Roman"/>
          <w:kern w:val="0"/>
          <w:sz w:val="24"/>
          <w:szCs w:val="24"/>
        </w:rPr>
        <w:t xml:space="preserve">     年 月  日</w:t>
      </w:r>
    </w:p>
    <w:p>
      <w:pPr>
        <w:jc w:val="center"/>
        <w:rPr>
          <w:rFonts w:ascii="宋体" w:hAnsi="宋体" w:eastAsia="宋体" w:cs="Times New Roman"/>
          <w:color w:val="0000FF"/>
          <w:kern w:val="0"/>
          <w:sz w:val="24"/>
          <w:szCs w:val="24"/>
        </w:rPr>
        <w:sectPr>
          <w:pgSz w:w="11906" w:h="16838"/>
          <w:pgMar w:top="1440" w:right="1440" w:bottom="1440" w:left="1440" w:header="851" w:footer="964" w:gutter="0"/>
          <w:cols w:space="720" w:num="1"/>
          <w:docGrid w:linePitch="510" w:charSpace="-1844"/>
        </w:sectPr>
      </w:pPr>
    </w:p>
    <w:p>
      <w:pPr>
        <w:rPr>
          <w:rFonts w:ascii="黑体" w:hAnsi="黑体" w:eastAsia="黑体" w:cs="Times New Roman"/>
          <w:kern w:val="0"/>
          <w:sz w:val="32"/>
          <w:szCs w:val="32"/>
        </w:rPr>
      </w:pPr>
      <w:bookmarkStart w:id="28" w:name="_Toc285612606"/>
      <w:r>
        <w:rPr>
          <w:rFonts w:hint="eastAsia" w:ascii="黑体" w:hAnsi="黑体" w:eastAsia="黑体" w:cs="Times New Roman"/>
          <w:kern w:val="0"/>
          <w:sz w:val="32"/>
          <w:szCs w:val="32"/>
        </w:rPr>
        <w:t>附件3</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货物材料、部件、工具价格明细表</w:t>
      </w:r>
      <w:bookmarkEnd w:id="28"/>
      <w:r>
        <w:rPr>
          <w:rFonts w:hint="eastAsia" w:ascii="方正小标宋简体" w:hAnsi="Times New Roman" w:eastAsia="方正小标宋简体" w:cs="Times New Roman"/>
          <w:kern w:val="0"/>
          <w:sz w:val="44"/>
          <w:szCs w:val="44"/>
        </w:rPr>
        <w:t>（无须提供）</w:t>
      </w:r>
    </w:p>
    <w:p>
      <w:pPr>
        <w:tabs>
          <w:tab w:val="left" w:pos="0"/>
        </w:tabs>
        <w:spacing w:line="560" w:lineRule="exact"/>
        <w:jc w:val="center"/>
        <w:rPr>
          <w:rFonts w:ascii="方正小标宋简体" w:hAnsi="Times New Roman" w:eastAsia="方正小标宋简体" w:cs="Times New Roman"/>
          <w:kern w:val="0"/>
          <w:sz w:val="44"/>
          <w:szCs w:val="44"/>
        </w:rPr>
      </w:pPr>
    </w:p>
    <w:p>
      <w:pPr>
        <w:autoSpaceDE w:val="0"/>
        <w:autoSpaceDN w:val="0"/>
        <w:adjustRightInd w:val="0"/>
        <w:rPr>
          <w:rFonts w:ascii="华文中宋" w:hAnsi="华文中宋" w:eastAsia="华文中宋" w:cs="宋体"/>
          <w:kern w:val="0"/>
          <w:sz w:val="24"/>
          <w:szCs w:val="24"/>
          <w:lang w:val="zh-CN"/>
        </w:rPr>
      </w:pPr>
      <w:r>
        <w:rPr>
          <w:rFonts w:hint="eastAsia" w:ascii="宋体" w:hAnsi="宋体" w:eastAsia="宋体" w:cs="宋体"/>
          <w:kern w:val="0"/>
          <w:sz w:val="24"/>
          <w:szCs w:val="24"/>
        </w:rPr>
        <w:t xml:space="preserve">项目名称：                       项目编号：                     包号：   </w:t>
      </w:r>
    </w:p>
    <w:tbl>
      <w:tblPr>
        <w:tblStyle w:val="19"/>
        <w:tblW w:w="5000" w:type="pct"/>
        <w:jc w:val="center"/>
        <w:tblLayout w:type="fixed"/>
        <w:tblCellMar>
          <w:top w:w="0" w:type="dxa"/>
          <w:left w:w="108" w:type="dxa"/>
          <w:bottom w:w="0" w:type="dxa"/>
          <w:right w:w="108" w:type="dxa"/>
        </w:tblCellMar>
      </w:tblPr>
      <w:tblGrid>
        <w:gridCol w:w="583"/>
        <w:gridCol w:w="1535"/>
        <w:gridCol w:w="974"/>
        <w:gridCol w:w="1002"/>
        <w:gridCol w:w="788"/>
        <w:gridCol w:w="1181"/>
        <w:gridCol w:w="741"/>
        <w:gridCol w:w="1105"/>
        <w:gridCol w:w="1333"/>
      </w:tblGrid>
      <w:tr>
        <w:tblPrEx>
          <w:tblCellMar>
            <w:top w:w="0" w:type="dxa"/>
            <w:left w:w="108" w:type="dxa"/>
            <w:bottom w:w="0" w:type="dxa"/>
            <w:right w:w="108" w:type="dxa"/>
          </w:tblCellMar>
        </w:tblPrEx>
        <w:trPr>
          <w:trHeight w:val="567" w:hRule="exact"/>
          <w:jc w:val="center"/>
        </w:trPr>
        <w:tc>
          <w:tcPr>
            <w:tcW w:w="572" w:type="dxa"/>
            <w:vMerge w:val="restart"/>
            <w:tcBorders>
              <w:top w:val="single" w:color="auto" w:sz="4" w:space="0"/>
              <w:left w:val="single" w:color="auto" w:sz="8" w:space="0"/>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序号</w:t>
            </w:r>
          </w:p>
        </w:tc>
        <w:tc>
          <w:tcPr>
            <w:tcW w:w="1505"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项目</w:t>
            </w:r>
          </w:p>
        </w:tc>
        <w:tc>
          <w:tcPr>
            <w:tcW w:w="95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规格</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型号</w:t>
            </w:r>
          </w:p>
        </w:tc>
        <w:tc>
          <w:tcPr>
            <w:tcW w:w="982" w:type="dxa"/>
            <w:vMerge w:val="restart"/>
            <w:tcBorders>
              <w:top w:val="single" w:color="auto" w:sz="4" w:space="0"/>
              <w:left w:val="single" w:color="auto" w:sz="4" w:space="0"/>
              <w:bottom w:val="single" w:color="000000" w:sz="4" w:space="0"/>
              <w:right w:val="single" w:color="auto" w:sz="4" w:space="0"/>
            </w:tcBorders>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执行</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标准</w:t>
            </w:r>
          </w:p>
        </w:tc>
        <w:tc>
          <w:tcPr>
            <w:tcW w:w="772"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kern w:val="0"/>
                <w:sz w:val="24"/>
                <w:szCs w:val="24"/>
              </w:rPr>
            </w:pPr>
            <w:r>
              <w:rPr>
                <w:rFonts w:hint="eastAsia" w:ascii="宋体" w:hAnsi="宋体" w:eastAsia="宋体" w:cs="宋体"/>
                <w:kern w:val="0"/>
                <w:sz w:val="24"/>
                <w:szCs w:val="24"/>
              </w:rPr>
              <w:t>计量</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单位</w:t>
            </w:r>
          </w:p>
        </w:tc>
        <w:tc>
          <w:tcPr>
            <w:tcW w:w="1158"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kern w:val="0"/>
                <w:sz w:val="24"/>
                <w:szCs w:val="24"/>
              </w:rPr>
            </w:pPr>
            <w:r>
              <w:rPr>
                <w:rFonts w:hint="eastAsia" w:ascii="宋体" w:hAnsi="宋体" w:eastAsia="宋体" w:cs="宋体"/>
                <w:kern w:val="0"/>
                <w:sz w:val="24"/>
                <w:szCs w:val="24"/>
              </w:rPr>
              <w:t>定额/</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消耗数量</w:t>
            </w:r>
          </w:p>
        </w:tc>
        <w:tc>
          <w:tcPr>
            <w:tcW w:w="726"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单价</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(元)</w:t>
            </w:r>
          </w:p>
        </w:tc>
        <w:tc>
          <w:tcPr>
            <w:tcW w:w="1083" w:type="dxa"/>
            <w:vMerge w:val="restart"/>
            <w:tcBorders>
              <w:top w:val="single" w:color="auto" w:sz="4" w:space="0"/>
              <w:left w:val="single" w:color="auto" w:sz="4"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金额</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(元)</w:t>
            </w:r>
          </w:p>
        </w:tc>
        <w:tc>
          <w:tcPr>
            <w:tcW w:w="1307" w:type="dxa"/>
            <w:vMerge w:val="restart"/>
            <w:tcBorders>
              <w:top w:val="single" w:color="auto" w:sz="4" w:space="0"/>
              <w:left w:val="single" w:color="auto" w:sz="4" w:space="0"/>
              <w:bottom w:val="single" w:color="000000" w:sz="4" w:space="0"/>
              <w:right w:val="single" w:color="auto" w:sz="8" w:space="0"/>
            </w:tcBorders>
            <w:vAlign w:val="center"/>
          </w:tcPr>
          <w:p>
            <w:pPr>
              <w:widowControl/>
              <w:spacing w:line="300" w:lineRule="exact"/>
              <w:jc w:val="center"/>
              <w:rPr>
                <w:rFonts w:ascii="宋体" w:hAnsi="宋体" w:eastAsia="宋体" w:cs="宋体"/>
                <w:kern w:val="0"/>
                <w:sz w:val="24"/>
                <w:szCs w:val="24"/>
              </w:rPr>
            </w:pPr>
            <w:r>
              <w:rPr>
                <w:rFonts w:hint="eastAsia" w:ascii="宋体" w:hAnsi="宋体" w:eastAsia="宋体" w:cs="宋体"/>
                <w:kern w:val="0"/>
                <w:sz w:val="24"/>
                <w:szCs w:val="24"/>
              </w:rPr>
              <w:t>产地或</w:t>
            </w:r>
          </w:p>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生产企业</w:t>
            </w:r>
          </w:p>
        </w:tc>
      </w:tr>
      <w:tr>
        <w:tblPrEx>
          <w:tblCellMar>
            <w:top w:w="0" w:type="dxa"/>
            <w:left w:w="108" w:type="dxa"/>
            <w:bottom w:w="0" w:type="dxa"/>
            <w:right w:w="108" w:type="dxa"/>
          </w:tblCellMar>
        </w:tblPrEx>
        <w:trPr>
          <w:trHeight w:val="311" w:hRule="atLeast"/>
          <w:jc w:val="center"/>
        </w:trPr>
        <w:tc>
          <w:tcPr>
            <w:tcW w:w="572"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150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95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98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77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115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7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eastAsia="宋体" w:cs="宋体"/>
                <w:sz w:val="24"/>
                <w:szCs w:val="24"/>
              </w:rPr>
            </w:pPr>
          </w:p>
        </w:tc>
        <w:tc>
          <w:tcPr>
            <w:tcW w:w="1307" w:type="dxa"/>
            <w:vMerge w:val="continue"/>
            <w:tcBorders>
              <w:top w:val="single" w:color="auto" w:sz="4" w:space="0"/>
              <w:left w:val="single" w:color="auto" w:sz="4" w:space="0"/>
              <w:bottom w:val="single" w:color="000000" w:sz="4" w:space="0"/>
              <w:right w:val="single" w:color="auto" w:sz="8" w:space="0"/>
            </w:tcBorders>
            <w:vAlign w:val="center"/>
          </w:tcPr>
          <w:p>
            <w:pPr>
              <w:widowControl/>
              <w:spacing w:line="300" w:lineRule="exact"/>
              <w:jc w:val="left"/>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一</w:t>
            </w:r>
          </w:p>
        </w:tc>
        <w:tc>
          <w:tcPr>
            <w:tcW w:w="1505"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直接材料费</w:t>
            </w:r>
          </w:p>
        </w:tc>
        <w:tc>
          <w:tcPr>
            <w:tcW w:w="955"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2"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2"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single" w:color="auto" w:sz="2" w:space="0"/>
              <w:left w:val="single" w:color="auto" w:sz="8" w:space="0"/>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1505"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955"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982"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772"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1158"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726"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1083" w:type="dxa"/>
            <w:tcBorders>
              <w:top w:val="single" w:color="auto" w:sz="2" w:space="0"/>
              <w:left w:val="nil"/>
              <w:bottom w:val="single" w:color="auto" w:sz="4" w:space="0"/>
              <w:right w:val="single" w:color="auto" w:sz="4" w:space="0"/>
            </w:tcBorders>
            <w:noWrap/>
            <w:vAlign w:val="center"/>
          </w:tcPr>
          <w:p>
            <w:pPr>
              <w:spacing w:line="300" w:lineRule="exact"/>
              <w:jc w:val="center"/>
              <w:rPr>
                <w:rFonts w:ascii="宋体" w:hAnsi="宋体" w:eastAsia="宋体" w:cs="宋体"/>
                <w:sz w:val="24"/>
                <w:szCs w:val="24"/>
              </w:rPr>
            </w:pPr>
          </w:p>
        </w:tc>
        <w:tc>
          <w:tcPr>
            <w:tcW w:w="1307" w:type="dxa"/>
            <w:tcBorders>
              <w:top w:val="single" w:color="auto" w:sz="2" w:space="0"/>
              <w:left w:val="nil"/>
              <w:bottom w:val="single" w:color="auto" w:sz="4" w:space="0"/>
              <w:right w:val="single" w:color="auto" w:sz="8" w:space="0"/>
            </w:tcBorders>
            <w:noWrap/>
            <w:vAlign w:val="center"/>
          </w:tcPr>
          <w:p>
            <w:pPr>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sz w:val="24"/>
                <w:szCs w:val="24"/>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二</w:t>
            </w:r>
          </w:p>
        </w:tc>
        <w:tc>
          <w:tcPr>
            <w:tcW w:w="1505"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外购成件费</w:t>
            </w:r>
          </w:p>
        </w:tc>
        <w:tc>
          <w:tcPr>
            <w:tcW w:w="955"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p>
        </w:tc>
        <w:tc>
          <w:tcPr>
            <w:tcW w:w="955"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三</w:t>
            </w: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备件工具费</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kern w:val="0"/>
                <w:sz w:val="24"/>
                <w:szCs w:val="24"/>
              </w:rPr>
            </w:pP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kern w:val="0"/>
                <w:sz w:val="24"/>
                <w:szCs w:val="24"/>
              </w:rPr>
            </w:pPr>
            <w:r>
              <w:rPr>
                <w:rFonts w:hint="eastAsia" w:ascii="宋体" w:hAnsi="宋体" w:eastAsia="宋体" w:cs="宋体"/>
                <w:kern w:val="0"/>
                <w:sz w:val="24"/>
                <w:szCs w:val="24"/>
              </w:rPr>
              <w:t>……</w:t>
            </w:r>
          </w:p>
        </w:tc>
        <w:tc>
          <w:tcPr>
            <w:tcW w:w="955"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宋体"/>
                <w:sz w:val="24"/>
                <w:szCs w:val="24"/>
              </w:rPr>
            </w:pPr>
          </w:p>
        </w:tc>
      </w:tr>
      <w:tr>
        <w:tblPrEx>
          <w:tblCellMar>
            <w:top w:w="0" w:type="dxa"/>
            <w:left w:w="108" w:type="dxa"/>
            <w:bottom w:w="0" w:type="dxa"/>
            <w:right w:w="108" w:type="dxa"/>
          </w:tblCellMar>
        </w:tblPrEx>
        <w:trPr>
          <w:trHeight w:val="454" w:hRule="exact"/>
          <w:jc w:val="center"/>
        </w:trPr>
        <w:tc>
          <w:tcPr>
            <w:tcW w:w="572" w:type="dxa"/>
            <w:tcBorders>
              <w:top w:val="nil"/>
              <w:left w:val="single" w:color="auto" w:sz="8" w:space="0"/>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505"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r>
              <w:rPr>
                <w:rFonts w:hint="eastAsia" w:ascii="宋体" w:hAnsi="宋体" w:eastAsia="宋体" w:cs="宋体"/>
                <w:kern w:val="0"/>
                <w:sz w:val="24"/>
                <w:szCs w:val="24"/>
              </w:rPr>
              <w:t>合计</w:t>
            </w:r>
          </w:p>
        </w:tc>
        <w:tc>
          <w:tcPr>
            <w:tcW w:w="955"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982"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72"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158"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726"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083" w:type="dxa"/>
            <w:tcBorders>
              <w:top w:val="nil"/>
              <w:left w:val="nil"/>
              <w:bottom w:val="single" w:color="auto" w:sz="8" w:space="0"/>
              <w:right w:val="single" w:color="auto" w:sz="4" w:space="0"/>
            </w:tcBorders>
            <w:noWrap/>
            <w:vAlign w:val="center"/>
          </w:tcPr>
          <w:p>
            <w:pPr>
              <w:widowControl/>
              <w:spacing w:line="300" w:lineRule="exact"/>
              <w:jc w:val="center"/>
              <w:rPr>
                <w:rFonts w:ascii="宋体" w:hAnsi="宋体" w:eastAsia="宋体" w:cs="宋体"/>
                <w:sz w:val="24"/>
                <w:szCs w:val="24"/>
              </w:rPr>
            </w:pPr>
          </w:p>
        </w:tc>
        <w:tc>
          <w:tcPr>
            <w:tcW w:w="1307" w:type="dxa"/>
            <w:tcBorders>
              <w:top w:val="nil"/>
              <w:left w:val="nil"/>
              <w:bottom w:val="single" w:color="auto" w:sz="8" w:space="0"/>
              <w:right w:val="single" w:color="auto" w:sz="8" w:space="0"/>
            </w:tcBorders>
            <w:noWrap/>
            <w:vAlign w:val="center"/>
          </w:tcPr>
          <w:p>
            <w:pPr>
              <w:widowControl/>
              <w:spacing w:line="300" w:lineRule="exact"/>
              <w:jc w:val="center"/>
              <w:rPr>
                <w:rFonts w:ascii="宋体" w:hAnsi="宋体" w:eastAsia="宋体" w:cs="宋体"/>
                <w:sz w:val="24"/>
                <w:szCs w:val="24"/>
              </w:rPr>
            </w:pPr>
          </w:p>
        </w:tc>
      </w:tr>
    </w:tbl>
    <w:p>
      <w:pPr>
        <w:widowControl/>
        <w:jc w:val="left"/>
        <w:rPr>
          <w:rFonts w:ascii="宋体" w:hAnsi="宋体" w:eastAsia="宋体" w:cs="宋体"/>
          <w:sz w:val="24"/>
          <w:szCs w:val="24"/>
        </w:rPr>
      </w:pPr>
      <w:r>
        <w:rPr>
          <w:rFonts w:hint="eastAsia" w:ascii="宋体" w:hAnsi="宋体" w:eastAsia="宋体" w:cs="宋体"/>
          <w:kern w:val="0"/>
          <w:sz w:val="24"/>
          <w:szCs w:val="24"/>
        </w:rPr>
        <w:t>说明：以一套货物的所用材料为基本单位，项目填列直接材料明细。</w:t>
      </w:r>
    </w:p>
    <w:p>
      <w:pPr>
        <w:widowControl/>
        <w:jc w:val="left"/>
        <w:rPr>
          <w:rFonts w:ascii="宋体" w:hAnsi="宋体" w:eastAsia="宋体" w:cs="宋体"/>
          <w:kern w:val="0"/>
          <w:sz w:val="24"/>
          <w:szCs w:val="24"/>
        </w:rPr>
      </w:pPr>
    </w:p>
    <w:p>
      <w:pPr>
        <w:widowControl/>
        <w:jc w:val="left"/>
        <w:rPr>
          <w:rFonts w:ascii="宋体" w:hAnsi="宋体" w:eastAsia="宋体" w:cs="宋体"/>
          <w:kern w:val="0"/>
          <w:sz w:val="24"/>
          <w:szCs w:val="24"/>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32"/>
          <w:szCs w:val="32"/>
        </w:rPr>
      </w:pPr>
    </w:p>
    <w:p>
      <w:pPr>
        <w:rPr>
          <w:rFonts w:ascii="黑体" w:hAnsi="黑体" w:eastAsia="黑体" w:cs="Times New Roman"/>
          <w:kern w:val="0"/>
          <w:sz w:val="32"/>
          <w:szCs w:val="32"/>
        </w:rPr>
        <w:sectPr>
          <w:headerReference r:id="rId9" w:type="default"/>
          <w:pgSz w:w="11906" w:h="16838"/>
          <w:pgMar w:top="1440" w:right="1440" w:bottom="1440" w:left="1440" w:header="851" w:footer="992" w:gutter="0"/>
          <w:cols w:space="720" w:num="1"/>
          <w:docGrid w:linePitch="579" w:charSpace="-1844"/>
        </w:sectPr>
      </w:pPr>
    </w:p>
    <w:p>
      <w:pPr>
        <w:rPr>
          <w:rFonts w:ascii="黑体" w:hAnsi="黑体" w:eastAsia="黑体" w:cs="Times New Roman"/>
          <w:kern w:val="0"/>
          <w:sz w:val="32"/>
          <w:szCs w:val="32"/>
        </w:rPr>
      </w:pPr>
      <w:r>
        <w:rPr>
          <w:rFonts w:hint="eastAsia" w:ascii="黑体" w:hAnsi="黑体" w:eastAsia="黑体" w:cs="Times New Roman"/>
          <w:kern w:val="0"/>
          <w:sz w:val="32"/>
          <w:szCs w:val="32"/>
        </w:rPr>
        <w:t>附件4</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投标函</w:t>
      </w:r>
    </w:p>
    <w:p>
      <w:pPr>
        <w:spacing w:line="420" w:lineRule="exact"/>
        <w:rPr>
          <w:rFonts w:ascii="Times New Roman" w:hAnsi="Times New Roman" w:eastAsia="宋体" w:cs="Times New Roman"/>
          <w:kern w:val="0"/>
          <w:sz w:val="28"/>
          <w:szCs w:val="28"/>
        </w:rPr>
      </w:pPr>
    </w:p>
    <w:p>
      <w:pPr>
        <w:spacing w:line="480" w:lineRule="exact"/>
        <w:rPr>
          <w:rFonts w:cs="Times New Roman" w:asciiTheme="minorEastAsia" w:hAnsiTheme="minorEastAsia"/>
          <w:kern w:val="0"/>
          <w:sz w:val="24"/>
          <w:szCs w:val="24"/>
        </w:rPr>
      </w:pPr>
      <w:r>
        <w:rPr>
          <w:rFonts w:hint="eastAsia" w:cs="Times New Roman" w:asciiTheme="minorEastAsia" w:hAnsiTheme="minorEastAsia"/>
          <w:kern w:val="0"/>
          <w:sz w:val="24"/>
          <w:szCs w:val="24"/>
        </w:rPr>
        <w:t>安徽省永丰粮食购销有限公司：</w:t>
      </w:r>
    </w:p>
    <w:p>
      <w:pPr>
        <w:spacing w:line="480" w:lineRule="exact"/>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我方参加贵单位组织的</w:t>
      </w:r>
      <w:r>
        <w:rPr>
          <w:rFonts w:hint="eastAsia" w:cs="Times New Roman" w:asciiTheme="minorEastAsia" w:hAnsiTheme="minorEastAsia"/>
          <w:kern w:val="0"/>
          <w:sz w:val="24"/>
          <w:szCs w:val="24"/>
          <w:u w:val="single"/>
        </w:rPr>
        <w:t>（项目编号、项目名称）</w:t>
      </w:r>
      <w:r>
        <w:rPr>
          <w:rFonts w:hint="eastAsia" w:cs="Times New Roman" w:asciiTheme="minorEastAsia" w:hAnsiTheme="minorEastAsia"/>
          <w:kern w:val="0"/>
          <w:sz w:val="24"/>
          <w:szCs w:val="24"/>
        </w:rPr>
        <w:t>招标采购活动，并对</w:t>
      </w:r>
      <w:r>
        <w:rPr>
          <w:rFonts w:hint="eastAsia" w:cs="Times New Roman" w:asciiTheme="minorEastAsia" w:hAnsiTheme="minorEastAsia"/>
          <w:kern w:val="0"/>
          <w:sz w:val="24"/>
          <w:szCs w:val="24"/>
          <w:u w:val="single"/>
        </w:rPr>
        <w:t>（包号或货物名称）</w:t>
      </w:r>
      <w:r>
        <w:rPr>
          <w:rFonts w:hint="eastAsia" w:cs="Times New Roman" w:asciiTheme="minorEastAsia" w:hAnsiTheme="minorEastAsia"/>
          <w:kern w:val="0"/>
          <w:sz w:val="24"/>
          <w:szCs w:val="24"/>
        </w:rPr>
        <w:t>进行投标。</w:t>
      </w:r>
    </w:p>
    <w:p>
      <w:pPr>
        <w:spacing w:line="480" w:lineRule="exact"/>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一、按照谈判文件规定递交响应文件正本份和副本份，电子版响应文件份。其中，《价格文件》</w:t>
      </w:r>
      <w:r>
        <w:rPr>
          <w:rFonts w:cs="Times New Roman" w:asciiTheme="minorEastAsia" w:hAnsiTheme="minorEastAsia"/>
          <w:color w:val="FF0000"/>
          <w:kern w:val="0"/>
          <w:sz w:val="24"/>
          <w:szCs w:val="24"/>
        </w:rPr>
        <w:t>3</w:t>
      </w:r>
      <w:r>
        <w:rPr>
          <w:rFonts w:hint="eastAsia" w:cs="Times New Roman" w:asciiTheme="minorEastAsia" w:hAnsiTheme="minorEastAsia"/>
          <w:kern w:val="0"/>
          <w:sz w:val="24"/>
          <w:szCs w:val="24"/>
        </w:rPr>
        <w:t>份单独密封提交。</w:t>
      </w:r>
    </w:p>
    <w:p>
      <w:pPr>
        <w:spacing w:line="480" w:lineRule="exact"/>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二、我方已完全理解谈判文件的全部内容，自愿接受并执行谈判文件的全部条款。</w:t>
      </w:r>
    </w:p>
    <w:p>
      <w:pPr>
        <w:spacing w:line="480" w:lineRule="exact"/>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三、本响应文件有效期自开标之日起60日内有效。</w:t>
      </w:r>
    </w:p>
    <w:p>
      <w:pPr>
        <w:spacing w:line="480" w:lineRule="exact"/>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四、我方在参与投标前已仔细研究了谈判文件和所有相关资料，同意谈判文件的相关条款。</w:t>
      </w:r>
    </w:p>
    <w:p>
      <w:pPr>
        <w:spacing w:line="480" w:lineRule="exact"/>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五、我方声明响应文件及所提供的一切资料均真实有效。由于我方提供资料不实而造成的责任和后果由我方承担。我方同意按照贵部要求，提供与招标有关数据或信息。</w:t>
      </w:r>
    </w:p>
    <w:p>
      <w:pPr>
        <w:spacing w:line="480" w:lineRule="exact"/>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六、我方承诺自愿遵守、执行政府采购管理法规制度及政策规定。</w:t>
      </w:r>
    </w:p>
    <w:p>
      <w:pPr>
        <w:spacing w:line="480" w:lineRule="exact"/>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七、联系方式</w:t>
      </w:r>
    </w:p>
    <w:p>
      <w:pPr>
        <w:spacing w:line="480" w:lineRule="exact"/>
        <w:ind w:firstLine="960" w:firstLineChars="400"/>
        <w:rPr>
          <w:rFonts w:cs="Times New Roman" w:asciiTheme="minorEastAsia" w:hAnsiTheme="minorEastAsia"/>
          <w:kern w:val="0"/>
          <w:sz w:val="24"/>
          <w:szCs w:val="24"/>
        </w:rPr>
      </w:pPr>
      <w:r>
        <w:rPr>
          <w:rFonts w:hint="eastAsia" w:cs="Times New Roman" w:asciiTheme="minorEastAsia" w:hAnsiTheme="minorEastAsia"/>
          <w:kern w:val="0"/>
          <w:sz w:val="24"/>
          <w:szCs w:val="24"/>
        </w:rPr>
        <w:t xml:space="preserve">联 系 人：        电话：          传    真：     </w:t>
      </w:r>
    </w:p>
    <w:p>
      <w:pPr>
        <w:spacing w:line="480" w:lineRule="exact"/>
        <w:ind w:firstLine="960" w:firstLineChars="400"/>
        <w:rPr>
          <w:rFonts w:cs="Times New Roman" w:asciiTheme="minorEastAsia" w:hAnsiTheme="minorEastAsia"/>
          <w:kern w:val="0"/>
          <w:sz w:val="24"/>
          <w:szCs w:val="24"/>
        </w:rPr>
      </w:pPr>
      <w:r>
        <w:rPr>
          <w:rFonts w:hint="eastAsia" w:cs="Times New Roman" w:asciiTheme="minorEastAsia" w:hAnsiTheme="minorEastAsia"/>
          <w:kern w:val="0"/>
          <w:sz w:val="24"/>
          <w:szCs w:val="24"/>
        </w:rPr>
        <w:t xml:space="preserve">地    址：                        邮政编码：        </w:t>
      </w:r>
    </w:p>
    <w:p>
      <w:pPr>
        <w:spacing w:line="480" w:lineRule="exact"/>
        <w:ind w:firstLine="960" w:firstLineChars="400"/>
        <w:rPr>
          <w:rFonts w:cs="Times New Roman" w:asciiTheme="minorEastAsia" w:hAnsiTheme="minorEastAsia"/>
          <w:kern w:val="0"/>
          <w:sz w:val="24"/>
          <w:szCs w:val="24"/>
        </w:rPr>
      </w:pPr>
      <w:r>
        <w:rPr>
          <w:rFonts w:hint="eastAsia" w:cs="Times New Roman" w:asciiTheme="minorEastAsia" w:hAnsiTheme="minorEastAsia"/>
          <w:kern w:val="0"/>
          <w:sz w:val="24"/>
          <w:szCs w:val="24"/>
        </w:rPr>
        <w:t xml:space="preserve">开户名称： </w:t>
      </w:r>
    </w:p>
    <w:p>
      <w:pPr>
        <w:spacing w:line="480" w:lineRule="exact"/>
        <w:ind w:firstLine="960" w:firstLineChars="400"/>
        <w:rPr>
          <w:rFonts w:cs="Times New Roman" w:asciiTheme="minorEastAsia" w:hAnsiTheme="minorEastAsia"/>
          <w:kern w:val="0"/>
          <w:sz w:val="24"/>
          <w:szCs w:val="24"/>
        </w:rPr>
      </w:pPr>
      <w:r>
        <w:rPr>
          <w:rFonts w:hint="eastAsia" w:cs="Times New Roman" w:asciiTheme="minorEastAsia" w:hAnsiTheme="minorEastAsia"/>
          <w:kern w:val="0"/>
          <w:sz w:val="24"/>
          <w:szCs w:val="24"/>
        </w:rPr>
        <w:t xml:space="preserve">开户银行：                       </w:t>
      </w:r>
    </w:p>
    <w:p>
      <w:pPr>
        <w:spacing w:line="480" w:lineRule="exact"/>
        <w:ind w:firstLine="960" w:firstLineChars="400"/>
        <w:rPr>
          <w:rFonts w:cs="Times New Roman" w:asciiTheme="minorEastAsia" w:hAnsiTheme="minorEastAsia"/>
          <w:kern w:val="0"/>
          <w:sz w:val="24"/>
          <w:szCs w:val="24"/>
        </w:rPr>
      </w:pPr>
      <w:r>
        <w:rPr>
          <w:rFonts w:hint="eastAsia" w:cs="Times New Roman" w:asciiTheme="minorEastAsia" w:hAnsiTheme="minorEastAsia"/>
          <w:kern w:val="0"/>
          <w:sz w:val="24"/>
          <w:szCs w:val="24"/>
        </w:rPr>
        <w:t xml:space="preserve">银行账号：                        </w:t>
      </w:r>
    </w:p>
    <w:p>
      <w:pPr>
        <w:spacing w:line="480" w:lineRule="exact"/>
        <w:ind w:firstLine="1176" w:firstLineChars="490"/>
        <w:rPr>
          <w:rFonts w:cs="Times New Roman" w:asciiTheme="minorEastAsia" w:hAnsiTheme="minorEastAsia"/>
          <w:kern w:val="0"/>
          <w:sz w:val="24"/>
          <w:szCs w:val="24"/>
        </w:rPr>
      </w:pPr>
    </w:p>
    <w:p>
      <w:pPr>
        <w:spacing w:line="480" w:lineRule="exact"/>
        <w:ind w:firstLine="1440" w:firstLineChars="600"/>
        <w:rPr>
          <w:rFonts w:cs="宋体" w:asciiTheme="minorEastAsia" w:hAnsiTheme="minorEastAsia"/>
          <w:kern w:val="0"/>
          <w:sz w:val="24"/>
          <w:szCs w:val="24"/>
          <w:lang w:val="zh-CN"/>
        </w:rPr>
      </w:pPr>
      <w:r>
        <w:rPr>
          <w:rFonts w:hint="eastAsia" w:cs="宋体" w:asciiTheme="minorEastAsia" w:hAnsiTheme="minorEastAsia"/>
          <w:kern w:val="0"/>
          <w:sz w:val="24"/>
          <w:szCs w:val="24"/>
          <w:lang w:val="zh-CN"/>
        </w:rPr>
        <w:t>供应商全称：（盖章）</w:t>
      </w:r>
    </w:p>
    <w:p>
      <w:pPr>
        <w:spacing w:line="480" w:lineRule="exact"/>
        <w:ind w:firstLine="1440" w:firstLineChars="600"/>
        <w:rPr>
          <w:rFonts w:cs="宋体" w:asciiTheme="minorEastAsia" w:hAnsiTheme="minorEastAsia"/>
          <w:kern w:val="0"/>
          <w:sz w:val="24"/>
          <w:szCs w:val="24"/>
        </w:rPr>
      </w:pPr>
      <w:r>
        <w:rPr>
          <w:rFonts w:hint="eastAsia" w:cs="宋体" w:asciiTheme="minorEastAsia" w:hAnsiTheme="minorEastAsia"/>
          <w:kern w:val="0"/>
          <w:sz w:val="24"/>
          <w:szCs w:val="24"/>
          <w:lang w:val="zh-CN"/>
        </w:rPr>
        <w:t xml:space="preserve">法定代表人（或授权代表）：（签字）  </w:t>
      </w:r>
    </w:p>
    <w:p>
      <w:pPr>
        <w:spacing w:line="480" w:lineRule="exact"/>
        <w:ind w:firstLine="3360" w:firstLineChars="1400"/>
        <w:rPr>
          <w:rFonts w:cs="宋体" w:asciiTheme="minorEastAsia" w:hAnsiTheme="minorEastAsia"/>
          <w:kern w:val="0"/>
          <w:sz w:val="24"/>
          <w:szCs w:val="24"/>
          <w:lang w:val="zh-CN"/>
        </w:rPr>
      </w:pPr>
      <w:r>
        <w:rPr>
          <w:rFonts w:hint="eastAsia" w:cs="宋体" w:asciiTheme="minorEastAsia" w:hAnsiTheme="minorEastAsia"/>
          <w:kern w:val="0"/>
          <w:sz w:val="24"/>
          <w:szCs w:val="24"/>
          <w:lang w:val="zh-CN"/>
        </w:rPr>
        <w:t>年  月  日</w:t>
      </w:r>
    </w:p>
    <w:p>
      <w:pPr>
        <w:spacing w:line="480" w:lineRule="exact"/>
        <w:ind w:right="539"/>
        <w:rPr>
          <w:rFonts w:cs="Times New Roman" w:asciiTheme="minorEastAsia" w:hAnsiTheme="minorEastAsia"/>
          <w:kern w:val="0"/>
          <w:sz w:val="24"/>
          <w:szCs w:val="24"/>
        </w:rPr>
        <w:sectPr>
          <w:pgSz w:w="11906" w:h="16838"/>
          <w:pgMar w:top="1440" w:right="1440" w:bottom="1440" w:left="1440" w:header="851" w:footer="992" w:gutter="0"/>
          <w:cols w:space="720" w:num="1"/>
          <w:docGrid w:linePitch="579" w:charSpace="-1844"/>
        </w:sectPr>
      </w:pPr>
    </w:p>
    <w:p>
      <w:pPr>
        <w:spacing w:line="480" w:lineRule="exact"/>
        <w:ind w:right="539"/>
        <w:rPr>
          <w:rFonts w:cs="Times New Roman" w:asciiTheme="minorEastAsia" w:hAnsiTheme="minorEastAsia"/>
          <w:kern w:val="0"/>
          <w:sz w:val="24"/>
          <w:szCs w:val="24"/>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附件5</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货物简要说明一览表</w:t>
      </w:r>
    </w:p>
    <w:p>
      <w:pPr>
        <w:rPr>
          <w:rFonts w:cs="Times New Roman" w:asciiTheme="minorEastAsia" w:hAnsiTheme="minorEastAsia"/>
          <w:kern w:val="0"/>
          <w:sz w:val="24"/>
          <w:szCs w:val="24"/>
        </w:rPr>
      </w:pPr>
      <w:r>
        <w:rPr>
          <w:rFonts w:hint="eastAsia" w:cs="Times New Roman" w:asciiTheme="minorEastAsia" w:hAnsiTheme="minorEastAsia"/>
          <w:kern w:val="0"/>
          <w:sz w:val="24"/>
          <w:szCs w:val="24"/>
        </w:rPr>
        <w:t xml:space="preserve">项目名称：                   项目编号：                </w:t>
      </w:r>
    </w:p>
    <w:tbl>
      <w:tblPr>
        <w:tblStyle w:val="19"/>
        <w:tblW w:w="5000" w:type="pct"/>
        <w:jc w:val="center"/>
        <w:tblLayout w:type="autofit"/>
        <w:tblCellMar>
          <w:top w:w="0" w:type="dxa"/>
          <w:left w:w="0" w:type="dxa"/>
          <w:bottom w:w="0" w:type="dxa"/>
          <w:right w:w="0" w:type="dxa"/>
        </w:tblCellMar>
      </w:tblPr>
      <w:tblGrid>
        <w:gridCol w:w="660"/>
        <w:gridCol w:w="2721"/>
        <w:gridCol w:w="691"/>
        <w:gridCol w:w="1028"/>
        <w:gridCol w:w="2616"/>
        <w:gridCol w:w="1350"/>
      </w:tblGrid>
      <w:tr>
        <w:tblPrEx>
          <w:tblCellMar>
            <w:top w:w="0" w:type="dxa"/>
            <w:left w:w="0" w:type="dxa"/>
            <w:bottom w:w="0" w:type="dxa"/>
            <w:right w:w="0" w:type="dxa"/>
          </w:tblCellMar>
        </w:tblPrEx>
        <w:trPr>
          <w:trHeight w:val="851" w:hRule="exact"/>
          <w:jc w:val="center"/>
        </w:trPr>
        <w:tc>
          <w:tcPr>
            <w:tcW w:w="648" w:type="dxa"/>
            <w:tcBorders>
              <w:top w:val="single" w:color="auto" w:sz="8" w:space="0"/>
              <w:left w:val="single" w:color="auto" w:sz="8" w:space="0"/>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序号</w:t>
            </w:r>
          </w:p>
        </w:tc>
        <w:tc>
          <w:tcPr>
            <w:tcW w:w="2666" w:type="dxa"/>
            <w:tcBorders>
              <w:top w:val="single" w:color="auto" w:sz="8" w:space="0"/>
              <w:left w:val="nil"/>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主要部件名称</w:t>
            </w:r>
          </w:p>
        </w:tc>
        <w:tc>
          <w:tcPr>
            <w:tcW w:w="677" w:type="dxa"/>
            <w:tcBorders>
              <w:top w:val="single" w:color="auto" w:sz="8" w:space="0"/>
              <w:left w:val="nil"/>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计量</w:t>
            </w:r>
          </w:p>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单位</w:t>
            </w:r>
          </w:p>
        </w:tc>
        <w:tc>
          <w:tcPr>
            <w:tcW w:w="1007" w:type="dxa"/>
            <w:tcBorders>
              <w:top w:val="single" w:color="auto" w:sz="8" w:space="0"/>
              <w:left w:val="nil"/>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数量</w:t>
            </w:r>
          </w:p>
        </w:tc>
        <w:tc>
          <w:tcPr>
            <w:tcW w:w="2563" w:type="dxa"/>
            <w:tcBorders>
              <w:top w:val="single" w:color="auto" w:sz="8" w:space="0"/>
              <w:left w:val="nil"/>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性能用途说明</w:t>
            </w:r>
          </w:p>
        </w:tc>
        <w:tc>
          <w:tcPr>
            <w:tcW w:w="1323" w:type="dxa"/>
            <w:tcBorders>
              <w:top w:val="single" w:color="auto" w:sz="8" w:space="0"/>
              <w:left w:val="nil"/>
              <w:bottom w:val="single" w:color="auto" w:sz="4" w:space="0"/>
              <w:right w:val="single" w:color="auto" w:sz="8" w:space="0"/>
            </w:tcBorders>
            <w:tcMar>
              <w:top w:w="20" w:type="dxa"/>
              <w:left w:w="20" w:type="dxa"/>
              <w:bottom w:w="0" w:type="dxa"/>
              <w:right w:w="20" w:type="dxa"/>
            </w:tcMar>
            <w:vAlign w:val="center"/>
          </w:tcPr>
          <w:p>
            <w:pPr>
              <w:widowControl/>
              <w:spacing w:line="300" w:lineRule="exact"/>
              <w:jc w:val="center"/>
              <w:rPr>
                <w:rFonts w:cs="Times New Roman" w:asciiTheme="minorEastAsia" w:hAnsiTheme="minorEastAsia"/>
                <w:kern w:val="0"/>
                <w:sz w:val="24"/>
                <w:szCs w:val="24"/>
              </w:rPr>
            </w:pPr>
            <w:r>
              <w:rPr>
                <w:rFonts w:hint="eastAsia" w:cs="Times New Roman" w:asciiTheme="minorEastAsia" w:hAnsiTheme="minorEastAsia"/>
                <w:kern w:val="0"/>
                <w:sz w:val="24"/>
                <w:szCs w:val="24"/>
              </w:rPr>
              <w:t>备注</w:t>
            </w: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r>
        <w:tblPrEx>
          <w:tblCellMar>
            <w:top w:w="0" w:type="dxa"/>
            <w:left w:w="0" w:type="dxa"/>
            <w:bottom w:w="0" w:type="dxa"/>
            <w:right w:w="0" w:type="dxa"/>
          </w:tblCellMar>
        </w:tblPrEx>
        <w:trPr>
          <w:trHeight w:val="567" w:hRule="atLeast"/>
          <w:jc w:val="center"/>
        </w:trPr>
        <w:tc>
          <w:tcPr>
            <w:tcW w:w="0" w:type="auto"/>
            <w:tcBorders>
              <w:top w:val="nil"/>
              <w:left w:val="single" w:color="auto" w:sz="8" w:space="0"/>
              <w:bottom w:val="single" w:color="auto" w:sz="4" w:space="0"/>
              <w:right w:val="single" w:color="auto" w:sz="4" w:space="0"/>
            </w:tcBorders>
            <w:noWrap/>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cs="Times New Roman" w:asciiTheme="minorEastAsia" w:hAnsiTheme="minorEastAsia"/>
                <w:kern w:val="0"/>
                <w:sz w:val="24"/>
                <w:szCs w:val="24"/>
              </w:rPr>
            </w:pPr>
          </w:p>
        </w:tc>
      </w:tr>
    </w:tbl>
    <w:p>
      <w:pPr>
        <w:rPr>
          <w:rFonts w:cs="Times New Roman" w:asciiTheme="minorEastAsia" w:hAnsiTheme="minorEastAsia"/>
          <w:kern w:val="0"/>
          <w:sz w:val="24"/>
          <w:szCs w:val="24"/>
          <w:lang w:val="zh-CN"/>
        </w:rPr>
      </w:pPr>
    </w:p>
    <w:p>
      <w:pPr>
        <w:rPr>
          <w:rFonts w:cs="Times New Roman" w:asciiTheme="minorEastAsia" w:hAnsiTheme="minorEastAsia"/>
          <w:kern w:val="0"/>
          <w:sz w:val="24"/>
          <w:szCs w:val="24"/>
          <w:lang w:val="zh-CN"/>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28"/>
          <w:szCs w:val="28"/>
        </w:rPr>
        <w:sectPr>
          <w:pgSz w:w="11906" w:h="16838"/>
          <w:pgMar w:top="1440" w:right="1440" w:bottom="1440" w:left="1440" w:header="851" w:footer="992" w:gutter="0"/>
          <w:cols w:space="720" w:num="1"/>
          <w:docGrid w:linePitch="579" w:charSpace="-1844"/>
        </w:sectPr>
      </w:pPr>
    </w:p>
    <w:p>
      <w:pPr>
        <w:rPr>
          <w:rFonts w:ascii="黑体" w:hAnsi="黑体" w:eastAsia="黑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附件6</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主要技术性能参数表</w:t>
      </w:r>
    </w:p>
    <w:p>
      <w:pPr>
        <w:rPr>
          <w:rFonts w:ascii="宋体" w:hAnsi="宋体" w:eastAsia="宋体" w:cs="Times New Roman"/>
          <w:kern w:val="0"/>
          <w:sz w:val="24"/>
          <w:szCs w:val="24"/>
        </w:rPr>
      </w:pPr>
      <w:r>
        <w:rPr>
          <w:rFonts w:hint="eastAsia" w:ascii="宋体" w:hAnsi="宋体" w:eastAsia="宋体" w:cs="Times New Roman"/>
          <w:kern w:val="0"/>
          <w:sz w:val="24"/>
          <w:szCs w:val="24"/>
        </w:rPr>
        <w:t xml:space="preserve">项目名称：                       项目编号：                     </w:t>
      </w:r>
    </w:p>
    <w:tbl>
      <w:tblPr>
        <w:tblStyle w:val="19"/>
        <w:tblW w:w="5000" w:type="pct"/>
        <w:jc w:val="center"/>
        <w:tblLayout w:type="autofit"/>
        <w:tblCellMar>
          <w:top w:w="0" w:type="dxa"/>
          <w:left w:w="108" w:type="dxa"/>
          <w:bottom w:w="0" w:type="dxa"/>
          <w:right w:w="108" w:type="dxa"/>
        </w:tblCellMar>
      </w:tblPr>
      <w:tblGrid>
        <w:gridCol w:w="828"/>
        <w:gridCol w:w="2998"/>
        <w:gridCol w:w="2520"/>
        <w:gridCol w:w="2896"/>
      </w:tblGrid>
      <w:tr>
        <w:tblPrEx>
          <w:tblCellMar>
            <w:top w:w="0" w:type="dxa"/>
            <w:left w:w="108" w:type="dxa"/>
            <w:bottom w:w="0" w:type="dxa"/>
            <w:right w:w="108" w:type="dxa"/>
          </w:tblCellMar>
        </w:tblPrEx>
        <w:trPr>
          <w:trHeight w:val="630" w:hRule="atLeast"/>
          <w:jc w:val="center"/>
        </w:trPr>
        <w:tc>
          <w:tcPr>
            <w:tcW w:w="8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2939" w:type="dxa"/>
            <w:tcBorders>
              <w:top w:val="single" w:color="auto" w:sz="4" w:space="0"/>
              <w:left w:val="nil"/>
              <w:bottom w:val="single" w:color="auto" w:sz="4" w:space="0"/>
              <w:right w:val="single" w:color="auto" w:sz="4" w:space="0"/>
            </w:tcBorders>
            <w:vAlign w:val="center"/>
          </w:tcPr>
          <w:p>
            <w:pPr>
              <w:widowControl/>
              <w:spacing w:line="300" w:lineRule="exact"/>
              <w:ind w:firstLine="240" w:firstLineChars="100"/>
              <w:jc w:val="center"/>
              <w:rPr>
                <w:rFonts w:ascii="宋体" w:hAnsi="宋体" w:eastAsia="宋体" w:cs="Times New Roman"/>
                <w:kern w:val="0"/>
                <w:sz w:val="24"/>
                <w:szCs w:val="24"/>
              </w:rPr>
            </w:pPr>
            <w:r>
              <w:rPr>
                <w:rFonts w:hint="eastAsia" w:ascii="宋体" w:hAnsi="宋体" w:eastAsia="宋体" w:cs="Times New Roman"/>
                <w:kern w:val="0"/>
                <w:sz w:val="24"/>
                <w:szCs w:val="24"/>
              </w:rPr>
              <w:t>物资名称</w:t>
            </w:r>
          </w:p>
        </w:tc>
        <w:tc>
          <w:tcPr>
            <w:tcW w:w="2470" w:type="dxa"/>
            <w:tcBorders>
              <w:top w:val="single" w:color="auto" w:sz="4" w:space="0"/>
              <w:left w:val="nil"/>
              <w:bottom w:val="single" w:color="auto" w:sz="4" w:space="0"/>
              <w:right w:val="single" w:color="auto" w:sz="4" w:space="0"/>
            </w:tcBorders>
            <w:vAlign w:val="center"/>
          </w:tcPr>
          <w:p>
            <w:pPr>
              <w:widowControl/>
              <w:spacing w:line="300" w:lineRule="exact"/>
              <w:ind w:firstLine="600" w:firstLineChars="250"/>
              <w:jc w:val="center"/>
              <w:rPr>
                <w:rFonts w:ascii="宋体" w:hAnsi="宋体" w:eastAsia="宋体" w:cs="Times New Roman"/>
                <w:kern w:val="0"/>
                <w:sz w:val="24"/>
                <w:szCs w:val="24"/>
              </w:rPr>
            </w:pPr>
            <w:r>
              <w:rPr>
                <w:rFonts w:hint="eastAsia" w:ascii="宋体" w:hAnsi="宋体" w:eastAsia="宋体" w:cs="Times New Roman"/>
                <w:kern w:val="0"/>
                <w:sz w:val="24"/>
                <w:szCs w:val="24"/>
              </w:rPr>
              <w:t>技术参数</w:t>
            </w:r>
          </w:p>
        </w:tc>
        <w:tc>
          <w:tcPr>
            <w:tcW w:w="2839"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执行标准</w:t>
            </w: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r>
        <w:tblPrEx>
          <w:tblCellMar>
            <w:top w:w="0" w:type="dxa"/>
            <w:left w:w="108" w:type="dxa"/>
            <w:bottom w:w="0" w:type="dxa"/>
            <w:right w:w="108" w:type="dxa"/>
          </w:tblCellMar>
        </w:tblPrEx>
        <w:trPr>
          <w:trHeight w:val="567" w:hRule="exact"/>
          <w:jc w:val="center"/>
        </w:trPr>
        <w:tc>
          <w:tcPr>
            <w:tcW w:w="812" w:type="dxa"/>
            <w:tcBorders>
              <w:top w:val="nil"/>
              <w:left w:val="single" w:color="auto" w:sz="8" w:space="0"/>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939"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470" w:type="dxa"/>
            <w:tcBorders>
              <w:top w:val="nil"/>
              <w:left w:val="nil"/>
              <w:bottom w:val="single" w:color="auto" w:sz="4" w:space="0"/>
              <w:right w:val="single" w:color="auto" w:sz="4" w:space="0"/>
            </w:tcBorders>
            <w:noWrap/>
            <w:vAlign w:val="center"/>
          </w:tcPr>
          <w:p>
            <w:pPr>
              <w:widowControl/>
              <w:spacing w:line="300" w:lineRule="exact"/>
              <w:jc w:val="center"/>
              <w:rPr>
                <w:rFonts w:ascii="宋体" w:hAnsi="宋体" w:eastAsia="宋体" w:cs="Times New Roman"/>
                <w:kern w:val="0"/>
                <w:sz w:val="24"/>
                <w:szCs w:val="24"/>
              </w:rPr>
            </w:pPr>
          </w:p>
        </w:tc>
        <w:tc>
          <w:tcPr>
            <w:tcW w:w="2839" w:type="dxa"/>
            <w:tcBorders>
              <w:top w:val="nil"/>
              <w:left w:val="nil"/>
              <w:bottom w:val="single" w:color="auto" w:sz="4" w:space="0"/>
              <w:right w:val="single" w:color="auto" w:sz="8" w:space="0"/>
            </w:tcBorders>
            <w:noWrap/>
            <w:vAlign w:val="center"/>
          </w:tcPr>
          <w:p>
            <w:pPr>
              <w:widowControl/>
              <w:spacing w:line="300" w:lineRule="exact"/>
              <w:jc w:val="center"/>
              <w:rPr>
                <w:rFonts w:ascii="宋体" w:hAnsi="宋体" w:eastAsia="宋体" w:cs="Times New Roman"/>
                <w:kern w:val="0"/>
                <w:sz w:val="24"/>
                <w:szCs w:val="24"/>
              </w:rPr>
            </w:pPr>
          </w:p>
        </w:tc>
      </w:tr>
    </w:tbl>
    <w:p>
      <w:pPr>
        <w:ind w:firstLine="480" w:firstLineChars="200"/>
        <w:rPr>
          <w:rFonts w:ascii="宋体" w:hAnsi="宋体" w:eastAsia="宋体" w:cs="Times New Roman"/>
          <w:kern w:val="0"/>
          <w:sz w:val="24"/>
          <w:szCs w:val="24"/>
        </w:rPr>
      </w:pPr>
    </w:p>
    <w:p>
      <w:pPr>
        <w:rPr>
          <w:rFonts w:ascii="宋体" w:hAnsi="宋体" w:eastAsia="宋体" w:cs="Times New Roman"/>
          <w:kern w:val="0"/>
          <w:sz w:val="24"/>
          <w:szCs w:val="24"/>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28"/>
          <w:szCs w:val="28"/>
        </w:rPr>
        <w:sectPr>
          <w:pgSz w:w="11906" w:h="16838"/>
          <w:pgMar w:top="1440" w:right="1440" w:bottom="1440" w:left="1440" w:header="851" w:footer="992" w:gutter="0"/>
          <w:cols w:space="720" w:num="1"/>
          <w:docGrid w:linePitch="579" w:charSpace="-1844"/>
        </w:sectPr>
      </w:pPr>
    </w:p>
    <w:p>
      <w:pPr>
        <w:rPr>
          <w:rFonts w:ascii="黑体" w:hAnsi="黑体" w:eastAsia="黑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附件7</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技术指标参数响应偏离表</w:t>
      </w:r>
    </w:p>
    <w:p>
      <w:pPr>
        <w:rPr>
          <w:rFonts w:ascii="宋体" w:hAnsi="宋体" w:eastAsia="宋体" w:cs="Times New Roman"/>
          <w:kern w:val="0"/>
          <w:sz w:val="24"/>
          <w:szCs w:val="24"/>
        </w:rPr>
      </w:pPr>
      <w:r>
        <w:rPr>
          <w:rFonts w:hint="eastAsia" w:ascii="宋体" w:hAnsi="宋体" w:eastAsia="宋体" w:cs="Times New Roman"/>
          <w:kern w:val="0"/>
          <w:sz w:val="24"/>
          <w:szCs w:val="24"/>
        </w:rPr>
        <w:t xml:space="preserve">项目名称：                       项目编号：                    </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1456"/>
        <w:gridCol w:w="2050"/>
        <w:gridCol w:w="2050"/>
        <w:gridCol w:w="1540"/>
        <w:gridCol w:w="1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142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货物</w:t>
            </w:r>
            <w:r>
              <w:rPr>
                <w:rFonts w:ascii="宋体" w:hAnsi="宋体" w:eastAsia="宋体" w:cs="Times New Roman"/>
                <w:kern w:val="0"/>
                <w:sz w:val="24"/>
                <w:szCs w:val="24"/>
              </w:rPr>
              <w:t>/</w:t>
            </w:r>
            <w:r>
              <w:rPr>
                <w:rFonts w:hint="eastAsia" w:ascii="宋体" w:hAnsi="宋体" w:eastAsia="宋体" w:cs="Times New Roman"/>
                <w:kern w:val="0"/>
                <w:sz w:val="24"/>
                <w:szCs w:val="24"/>
              </w:rPr>
              <w:t>部件</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名称</w:t>
            </w:r>
          </w:p>
        </w:tc>
        <w:tc>
          <w:tcPr>
            <w:tcW w:w="201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技术指标参数</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要求</w:t>
            </w:r>
          </w:p>
        </w:tc>
        <w:tc>
          <w:tcPr>
            <w:tcW w:w="201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技术指标参数</w:t>
            </w:r>
          </w:p>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响应</w:t>
            </w:r>
          </w:p>
        </w:tc>
        <w:tc>
          <w:tcPr>
            <w:tcW w:w="151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偏离</w:t>
            </w:r>
          </w:p>
        </w:tc>
        <w:tc>
          <w:tcPr>
            <w:tcW w:w="1374"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42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20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51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c>
          <w:tcPr>
            <w:tcW w:w="137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p>
        </w:tc>
      </w:tr>
    </w:tbl>
    <w:p>
      <w:pPr>
        <w:ind w:firstLine="480" w:firstLineChars="200"/>
        <w:rPr>
          <w:rFonts w:ascii="宋体" w:hAnsi="宋体" w:eastAsia="宋体" w:cs="Times New Roman"/>
          <w:kern w:val="0"/>
          <w:sz w:val="24"/>
          <w:szCs w:val="24"/>
        </w:rPr>
      </w:pPr>
      <w:r>
        <w:rPr>
          <w:rFonts w:hint="eastAsia" w:ascii="宋体" w:hAnsi="宋体" w:eastAsia="宋体" w:cs="Times New Roman"/>
          <w:kern w:val="0"/>
          <w:sz w:val="24"/>
          <w:szCs w:val="24"/>
        </w:rPr>
        <w:t>说明：</w:t>
      </w:r>
      <w:r>
        <w:rPr>
          <w:rFonts w:hint="eastAsia" w:ascii="宋体" w:hAnsi="宋体" w:eastAsia="宋体" w:cs="Times New Roman"/>
          <w:bCs/>
          <w:kern w:val="0"/>
          <w:sz w:val="24"/>
          <w:szCs w:val="24"/>
        </w:rPr>
        <w:t>供应商应对照谈判文件技术要求，逐条如实填写所投产品的具体指标参数，注明无偏离、正偏离或负偏离，并在备注中注明偏离的具体内容。技术指标参数响应栏如果原文复制谈判文件技术要求，可能会被视为无效投标。</w:t>
      </w:r>
    </w:p>
    <w:p>
      <w:pPr>
        <w:rPr>
          <w:rFonts w:ascii="Times New Roman" w:hAnsi="Times New Roman" w:eastAsia="宋体" w:cs="Times New Roman"/>
          <w:kern w:val="0"/>
          <w:sz w:val="28"/>
          <w:szCs w:val="28"/>
        </w:rPr>
      </w:pPr>
    </w:p>
    <w:p>
      <w:pPr>
        <w:rPr>
          <w:rFonts w:ascii="Times New Roman" w:hAnsi="Times New Roman" w:eastAsia="宋体" w:cs="Times New Roman"/>
          <w:kern w:val="0"/>
          <w:sz w:val="28"/>
          <w:szCs w:val="28"/>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Times New Roman" w:hAnsi="Times New Roman" w:eastAsia="宋体" w:cs="Times New Roman"/>
          <w:kern w:val="0"/>
          <w:sz w:val="28"/>
          <w:szCs w:val="28"/>
        </w:rPr>
        <w:sectPr>
          <w:pgSz w:w="11906" w:h="16838"/>
          <w:pgMar w:top="1440" w:right="1440" w:bottom="1440" w:left="1440" w:header="851" w:footer="992" w:gutter="0"/>
          <w:cols w:space="720" w:num="1"/>
          <w:docGrid w:linePitch="579" w:charSpace="-1844"/>
        </w:sectPr>
      </w:pPr>
    </w:p>
    <w:p>
      <w:pPr>
        <w:rPr>
          <w:rFonts w:ascii="Times New Roman" w:hAnsi="Times New Roman" w:eastAsia="宋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附件8</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主要商务条款响应偏离表</w:t>
      </w:r>
    </w:p>
    <w:p>
      <w:pPr>
        <w:rPr>
          <w:rFonts w:ascii="宋体" w:hAnsi="宋体" w:eastAsia="宋体" w:cs="Times New Roman"/>
          <w:kern w:val="0"/>
          <w:sz w:val="24"/>
          <w:szCs w:val="24"/>
        </w:rPr>
      </w:pPr>
      <w:r>
        <w:rPr>
          <w:rFonts w:hint="eastAsia" w:ascii="宋体" w:hAnsi="宋体" w:eastAsia="宋体" w:cs="Times New Roman"/>
          <w:kern w:val="0"/>
          <w:sz w:val="24"/>
          <w:szCs w:val="24"/>
        </w:rPr>
        <w:t xml:space="preserve">项目名称：                       项目编号：                </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1952"/>
        <w:gridCol w:w="2317"/>
        <w:gridCol w:w="2663"/>
        <w:gridCol w:w="816"/>
        <w:gridCol w:w="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r>
              <w:rPr>
                <w:rFonts w:hint="eastAsia" w:cs="Times New Roman" w:asciiTheme="minorEastAsia" w:hAnsiTheme="minorEastAsia"/>
                <w:kern w:val="0"/>
                <w:sz w:val="24"/>
                <w:szCs w:val="24"/>
              </w:rPr>
              <w:t>序号</w:t>
            </w:r>
          </w:p>
        </w:tc>
        <w:tc>
          <w:tcPr>
            <w:tcW w:w="1914"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r>
              <w:rPr>
                <w:rFonts w:hint="eastAsia" w:cs="Times New Roman" w:asciiTheme="minorEastAsia" w:hAnsiTheme="minorEastAsia"/>
                <w:kern w:val="0"/>
                <w:sz w:val="24"/>
                <w:szCs w:val="24"/>
              </w:rPr>
              <w:t>谈判文件条目号</w:t>
            </w:r>
          </w:p>
        </w:tc>
        <w:tc>
          <w:tcPr>
            <w:tcW w:w="227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ind w:firstLine="98" w:firstLineChars="41"/>
              <w:rPr>
                <w:rFonts w:cs="Times New Roman" w:asciiTheme="minorEastAsia" w:hAnsiTheme="minorEastAsia"/>
                <w:sz w:val="24"/>
                <w:szCs w:val="24"/>
              </w:rPr>
            </w:pPr>
            <w:r>
              <w:rPr>
                <w:rFonts w:hint="eastAsia" w:cs="Times New Roman" w:asciiTheme="minorEastAsia" w:hAnsiTheme="minorEastAsia"/>
                <w:kern w:val="0"/>
                <w:sz w:val="24"/>
                <w:szCs w:val="24"/>
              </w:rPr>
              <w:t>谈判文件商务条款</w:t>
            </w:r>
          </w:p>
        </w:tc>
        <w:tc>
          <w:tcPr>
            <w:tcW w:w="261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r>
              <w:rPr>
                <w:rFonts w:hint="eastAsia" w:cs="Times New Roman" w:asciiTheme="minorEastAsia" w:hAnsiTheme="minorEastAsia"/>
                <w:kern w:val="0"/>
                <w:sz w:val="24"/>
                <w:szCs w:val="24"/>
              </w:rPr>
              <w:t>响应文件商务条款响应</w:t>
            </w:r>
          </w:p>
        </w:tc>
        <w:tc>
          <w:tcPr>
            <w:tcW w:w="800"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r>
              <w:rPr>
                <w:rFonts w:hint="eastAsia" w:cs="Times New Roman" w:asciiTheme="minorEastAsia" w:hAnsiTheme="minorEastAsia"/>
                <w:sz w:val="24"/>
                <w:szCs w:val="24"/>
              </w:rPr>
              <w:t>偏离</w:t>
            </w:r>
          </w:p>
        </w:tc>
        <w:tc>
          <w:tcPr>
            <w:tcW w:w="77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r>
              <w:rPr>
                <w:rFonts w:hint="eastAsia" w:cs="Times New Roman" w:asciiTheme="minorEastAsia" w:hAnsiTheme="minorEastAsia"/>
                <w:kern w:val="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68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1914"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27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2611"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800"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c>
          <w:tcPr>
            <w:tcW w:w="777" w:type="dxa"/>
            <w:tcBorders>
              <w:top w:val="single" w:color="auto" w:sz="4" w:space="0"/>
              <w:left w:val="single" w:color="auto" w:sz="4" w:space="0"/>
              <w:bottom w:val="single" w:color="auto" w:sz="4" w:space="0"/>
              <w:right w:val="single" w:color="auto" w:sz="4" w:space="0"/>
            </w:tcBorders>
            <w:vAlign w:val="center"/>
          </w:tcPr>
          <w:p>
            <w:pPr>
              <w:spacing w:beforeLines="20" w:afterLines="20" w:line="300" w:lineRule="exact"/>
              <w:rPr>
                <w:rFonts w:cs="Times New Roman" w:asciiTheme="minorEastAsia" w:hAnsiTheme="minorEastAsia"/>
                <w:sz w:val="24"/>
                <w:szCs w:val="24"/>
              </w:rPr>
            </w:pPr>
          </w:p>
        </w:tc>
      </w:tr>
    </w:tbl>
    <w:p>
      <w:pPr>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商务条款主要包括报价要求、售后服务、专利权和保密要求、交货时间、地点与方式、付款及结算方式等。如有遗漏，请供应商按照谈判文件正文自行补充完整。</w:t>
      </w:r>
    </w:p>
    <w:p>
      <w:pPr>
        <w:jc w:val="center"/>
        <w:rPr>
          <w:rFonts w:ascii="楷体_GB2312" w:eastAsia="楷体_GB2312" w:cs="Times New Roman" w:hAnsiTheme="minorEastAsia"/>
          <w:kern w:val="0"/>
          <w:sz w:val="24"/>
          <w:szCs w:val="24"/>
          <w:u w:val="single"/>
        </w:rPr>
      </w:pPr>
      <w:r>
        <w:rPr>
          <w:rFonts w:hint="eastAsia" w:ascii="楷体_GB2312" w:eastAsia="楷体_GB2312" w:cs="Times New Roman" w:hAnsiTheme="minorEastAsia"/>
          <w:kern w:val="0"/>
          <w:sz w:val="24"/>
          <w:szCs w:val="24"/>
          <w:u w:val="single"/>
        </w:rPr>
        <w:t>特别提示</w:t>
      </w:r>
    </w:p>
    <w:p>
      <w:pPr>
        <w:ind w:firstLine="480" w:firstLineChars="200"/>
        <w:rPr>
          <w:rFonts w:cs="Times New Roman" w:asciiTheme="minorEastAsia" w:hAnsiTheme="minorEastAsia"/>
          <w:kern w:val="0"/>
          <w:sz w:val="24"/>
          <w:szCs w:val="24"/>
        </w:rPr>
      </w:pPr>
      <w:r>
        <w:rPr>
          <w:rFonts w:cs="Times New Roman" w:asciiTheme="minorEastAsia" w:hAnsiTheme="minorEastAsia"/>
          <w:kern w:val="0"/>
          <w:sz w:val="24"/>
          <w:szCs w:val="24"/>
        </w:rPr>
        <w:t>1.</w:t>
      </w:r>
      <w:r>
        <w:rPr>
          <w:rFonts w:hint="eastAsia" w:cs="Times New Roman" w:asciiTheme="minorEastAsia" w:hAnsiTheme="minorEastAsia"/>
          <w:kern w:val="0"/>
          <w:sz w:val="24"/>
          <w:szCs w:val="24"/>
        </w:rPr>
        <w:t>本表所列条款必须一一予以响应，</w:t>
      </w:r>
      <w:r>
        <w:rPr>
          <w:rFonts w:cs="Times New Roman" w:asciiTheme="minorEastAsia" w:hAnsiTheme="minorEastAsia"/>
          <w:kern w:val="0"/>
          <w:sz w:val="24"/>
          <w:szCs w:val="24"/>
        </w:rPr>
        <w:t>“</w:t>
      </w:r>
      <w:r>
        <w:rPr>
          <w:rFonts w:hint="eastAsia" w:cs="Times New Roman" w:asciiTheme="minorEastAsia" w:hAnsiTheme="minorEastAsia"/>
          <w:kern w:val="0"/>
          <w:sz w:val="24"/>
          <w:szCs w:val="24"/>
        </w:rPr>
        <w:t>响应文件商务条款响应</w:t>
      </w:r>
      <w:r>
        <w:rPr>
          <w:rFonts w:cs="Times New Roman" w:asciiTheme="minorEastAsia" w:hAnsiTheme="minorEastAsia"/>
          <w:kern w:val="0"/>
          <w:sz w:val="24"/>
          <w:szCs w:val="24"/>
        </w:rPr>
        <w:t>”</w:t>
      </w:r>
      <w:r>
        <w:rPr>
          <w:rFonts w:hint="eastAsia" w:cs="Times New Roman" w:asciiTheme="minorEastAsia" w:hAnsiTheme="minorEastAsia"/>
          <w:kern w:val="0"/>
          <w:sz w:val="24"/>
          <w:szCs w:val="24"/>
        </w:rPr>
        <w:t>一栏应填写具体的响应内容，有偏离的要具体说明，纸面不敷时，可以另加页。</w:t>
      </w:r>
    </w:p>
    <w:p>
      <w:pPr>
        <w:ind w:firstLine="480" w:firstLineChars="200"/>
        <w:rPr>
          <w:rFonts w:cs="Times New Roman" w:asciiTheme="minorEastAsia" w:hAnsiTheme="minorEastAsia"/>
          <w:kern w:val="0"/>
          <w:sz w:val="24"/>
          <w:szCs w:val="24"/>
        </w:rPr>
      </w:pPr>
      <w:r>
        <w:rPr>
          <w:rFonts w:cs="Times New Roman" w:asciiTheme="minorEastAsia" w:hAnsiTheme="minorEastAsia"/>
          <w:kern w:val="0"/>
          <w:sz w:val="24"/>
          <w:szCs w:val="24"/>
        </w:rPr>
        <w:t>2.</w:t>
      </w:r>
      <w:r>
        <w:rPr>
          <w:rFonts w:hint="eastAsia" w:cs="Times New Roman" w:asciiTheme="minorEastAsia" w:hAnsiTheme="minorEastAsia"/>
          <w:kern w:val="0"/>
          <w:sz w:val="24"/>
          <w:szCs w:val="24"/>
        </w:rPr>
        <w:t>请供应商认真填写本表内容，如填写错误将可能导致投标无效。</w:t>
      </w:r>
    </w:p>
    <w:p>
      <w:pPr>
        <w:ind w:firstLine="3165" w:firstLineChars="1319"/>
        <w:rPr>
          <w:rFonts w:cs="Times New Roman" w:asciiTheme="minorEastAsia" w:hAnsiTheme="minorEastAsia"/>
          <w:kern w:val="0"/>
          <w:sz w:val="24"/>
          <w:szCs w:val="24"/>
        </w:rPr>
      </w:pPr>
    </w:p>
    <w:p>
      <w:pPr>
        <w:ind w:firstLine="3693" w:firstLineChars="1319"/>
        <w:rPr>
          <w:rFonts w:ascii="Times New Roman" w:hAnsi="Times New Roman" w:eastAsia="宋体" w:cs="Times New Roman"/>
          <w:kern w:val="0"/>
          <w:sz w:val="28"/>
          <w:szCs w:val="28"/>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snapToGrid w:val="0"/>
          <w:kern w:val="0"/>
          <w:sz w:val="32"/>
          <w:szCs w:val="32"/>
          <w:lang w:val="zh-CN"/>
        </w:rPr>
      </w:pPr>
      <w:r>
        <w:rPr>
          <w:rFonts w:ascii="Times New Roman" w:hAnsi="Times New Roman" w:eastAsia="宋体" w:cs="Times New Roman"/>
          <w:snapToGrid w:val="0"/>
          <w:kern w:val="0"/>
          <w:sz w:val="28"/>
          <w:szCs w:val="28"/>
          <w:lang w:val="zh-CN"/>
        </w:rPr>
        <w:br w:type="page"/>
      </w:r>
      <w:r>
        <w:rPr>
          <w:rFonts w:hint="eastAsia" w:ascii="黑体" w:hAnsi="黑体" w:eastAsia="黑体" w:cs="Times New Roman"/>
          <w:kern w:val="0"/>
          <w:sz w:val="32"/>
          <w:szCs w:val="32"/>
        </w:rPr>
        <w:t>附件9</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交货清单</w:t>
      </w:r>
    </w:p>
    <w:p>
      <w:pPr>
        <w:rPr>
          <w:rFonts w:ascii="宋体" w:hAnsi="宋体" w:eastAsia="宋体" w:cs="Times New Roman"/>
          <w:kern w:val="0"/>
          <w:sz w:val="24"/>
          <w:szCs w:val="24"/>
        </w:rPr>
      </w:pPr>
      <w:r>
        <w:rPr>
          <w:rFonts w:hint="eastAsia" w:ascii="宋体" w:hAnsi="宋体" w:eastAsia="宋体" w:cs="Times New Roman"/>
          <w:kern w:val="0"/>
          <w:sz w:val="24"/>
          <w:szCs w:val="24"/>
        </w:rPr>
        <w:t xml:space="preserve">项目名称：                       项目编号：                    </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58"/>
        <w:gridCol w:w="1678"/>
        <w:gridCol w:w="1165"/>
        <w:gridCol w:w="1862"/>
        <w:gridCol w:w="1064"/>
        <w:gridCol w:w="984"/>
        <w:gridCol w:w="17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序号</w:t>
            </w: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品名</w:t>
            </w: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品牌</w:t>
            </w: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规格型号</w:t>
            </w: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数量</w:t>
            </w: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单位</w:t>
            </w: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原产地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jc w:val="center"/>
        </w:trPr>
        <w:tc>
          <w:tcPr>
            <w:tcW w:w="761"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87"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17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87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06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988"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40" w:type="dxa"/>
            <w:tcBorders>
              <w:top w:val="single" w:color="000000" w:sz="4" w:space="0"/>
              <w:left w:val="single" w:color="auto"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bl>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32"/>
          <w:szCs w:val="32"/>
        </w:rPr>
      </w:pPr>
    </w:p>
    <w:p>
      <w:pPr>
        <w:autoSpaceDE w:val="0"/>
        <w:autoSpaceDN w:val="0"/>
        <w:adjustRightInd w:val="0"/>
        <w:ind w:firstLine="403" w:firstLineChars="168"/>
        <w:rPr>
          <w:rFonts w:ascii="Times New Roman" w:hAnsi="Times New Roman" w:eastAsia="宋体" w:cs="Times New Roman"/>
          <w:snapToGrid w:val="0"/>
          <w:kern w:val="0"/>
          <w:sz w:val="24"/>
          <w:szCs w:val="24"/>
          <w:lang w:val="zh-CN"/>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仿宋_GB2312" w:hAnsi="宋体" w:eastAsia="仿宋_GB2312" w:cs="宋体"/>
          <w:kern w:val="0"/>
          <w:sz w:val="32"/>
          <w:szCs w:val="32"/>
          <w:lang w:val="zh-CN"/>
        </w:rPr>
      </w:pPr>
      <w:r>
        <w:rPr>
          <w:rFonts w:ascii="Times New Roman" w:hAnsi="Times New Roman" w:eastAsia="宋体" w:cs="Times New Roman"/>
          <w:kern w:val="0"/>
          <w:sz w:val="28"/>
          <w:szCs w:val="28"/>
          <w:lang w:val="zh-CN"/>
        </w:rPr>
        <w:br w:type="page"/>
      </w:r>
      <w:r>
        <w:rPr>
          <w:rFonts w:hint="eastAsia" w:ascii="黑体" w:hAnsi="黑体" w:eastAsia="黑体" w:cs="Times New Roman"/>
          <w:kern w:val="0"/>
          <w:sz w:val="32"/>
          <w:szCs w:val="32"/>
        </w:rPr>
        <w:t>附件1</w:t>
      </w:r>
      <w:r>
        <w:rPr>
          <w:rFonts w:ascii="黑体" w:hAnsi="黑体" w:eastAsia="黑体" w:cs="Times New Roman"/>
          <w:kern w:val="0"/>
          <w:sz w:val="32"/>
          <w:szCs w:val="32"/>
        </w:rPr>
        <w:t>0</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谈判保证金</w:t>
      </w:r>
    </w:p>
    <w:p>
      <w:pPr>
        <w:ind w:left="1260" w:leftChars="600"/>
      </w:pPr>
    </w:p>
    <w:tbl>
      <w:tblPr>
        <w:tblStyle w:val="19"/>
        <w:tblW w:w="0" w:type="auto"/>
        <w:jc w:val="center"/>
        <w:tblLayout w:type="fixed"/>
        <w:tblCellMar>
          <w:top w:w="0" w:type="dxa"/>
          <w:left w:w="0" w:type="dxa"/>
          <w:bottom w:w="0" w:type="dxa"/>
          <w:right w:w="0" w:type="dxa"/>
        </w:tblCellMar>
      </w:tblPr>
      <w:tblGrid>
        <w:gridCol w:w="2821"/>
        <w:gridCol w:w="5550"/>
      </w:tblGrid>
      <w:tr>
        <w:tblPrEx>
          <w:tblCellMar>
            <w:top w:w="0" w:type="dxa"/>
            <w:left w:w="0" w:type="dxa"/>
            <w:bottom w:w="0" w:type="dxa"/>
            <w:right w:w="0" w:type="dxa"/>
          </w:tblCellMar>
        </w:tblPrEx>
        <w:trPr>
          <w:trHeight w:val="454" w:hRule="exact"/>
          <w:jc w:val="center"/>
        </w:trPr>
        <w:tc>
          <w:tcPr>
            <w:tcW w:w="28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r>
              <w:rPr>
                <w:rFonts w:hint="eastAsia" w:ascii="宋体" w:hAnsi="宋体" w:cs="宋体"/>
                <w:sz w:val="24"/>
                <w:szCs w:val="20"/>
              </w:rPr>
              <w:t>供应商全称：</w:t>
            </w:r>
          </w:p>
        </w:tc>
        <w:tc>
          <w:tcPr>
            <w:tcW w:w="55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p>
        </w:tc>
      </w:tr>
      <w:tr>
        <w:tblPrEx>
          <w:tblCellMar>
            <w:top w:w="0" w:type="dxa"/>
            <w:left w:w="0" w:type="dxa"/>
            <w:bottom w:w="0" w:type="dxa"/>
            <w:right w:w="0" w:type="dxa"/>
          </w:tblCellMar>
        </w:tblPrEx>
        <w:trPr>
          <w:trHeight w:val="454" w:hRule="exact"/>
          <w:jc w:val="center"/>
        </w:trPr>
        <w:tc>
          <w:tcPr>
            <w:tcW w:w="8371"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center"/>
              <w:rPr>
                <w:rFonts w:ascii="宋体" w:hAnsi="宋体" w:cs="宋体"/>
                <w:b/>
                <w:sz w:val="24"/>
                <w:szCs w:val="20"/>
              </w:rPr>
            </w:pPr>
            <w:r>
              <w:rPr>
                <w:rFonts w:hint="eastAsia" w:ascii="宋体" w:hAnsi="宋体" w:cs="宋体"/>
                <w:b/>
                <w:sz w:val="24"/>
                <w:szCs w:val="20"/>
              </w:rPr>
              <w:t>保证金的递交</w:t>
            </w:r>
          </w:p>
        </w:tc>
      </w:tr>
      <w:tr>
        <w:tblPrEx>
          <w:tblCellMar>
            <w:top w:w="0" w:type="dxa"/>
            <w:left w:w="0" w:type="dxa"/>
            <w:bottom w:w="0" w:type="dxa"/>
            <w:right w:w="0" w:type="dxa"/>
          </w:tblCellMar>
        </w:tblPrEx>
        <w:trPr>
          <w:trHeight w:val="454" w:hRule="exact"/>
          <w:jc w:val="center"/>
        </w:trPr>
        <w:tc>
          <w:tcPr>
            <w:tcW w:w="28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r>
              <w:rPr>
                <w:rFonts w:hint="eastAsia" w:ascii="宋体" w:hAnsi="宋体" w:cs="宋体"/>
                <w:sz w:val="24"/>
                <w:szCs w:val="20"/>
              </w:rPr>
              <w:t>已递交的保证金形式：</w:t>
            </w:r>
          </w:p>
        </w:tc>
        <w:tc>
          <w:tcPr>
            <w:tcW w:w="55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ind w:firstLine="480"/>
              <w:jc w:val="left"/>
              <w:rPr>
                <w:rFonts w:ascii="宋体" w:hAnsi="宋体" w:cs="宋体"/>
                <w:sz w:val="24"/>
                <w:szCs w:val="20"/>
              </w:rPr>
            </w:pPr>
          </w:p>
        </w:tc>
      </w:tr>
      <w:tr>
        <w:tblPrEx>
          <w:tblCellMar>
            <w:top w:w="0" w:type="dxa"/>
            <w:left w:w="0" w:type="dxa"/>
            <w:bottom w:w="0" w:type="dxa"/>
            <w:right w:w="0" w:type="dxa"/>
          </w:tblCellMar>
        </w:tblPrEx>
        <w:trPr>
          <w:trHeight w:val="454" w:hRule="exact"/>
          <w:jc w:val="center"/>
        </w:trPr>
        <w:tc>
          <w:tcPr>
            <w:tcW w:w="28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r>
              <w:rPr>
                <w:rFonts w:hint="eastAsia" w:ascii="宋体" w:hAnsi="宋体" w:cs="宋体"/>
                <w:sz w:val="24"/>
                <w:szCs w:val="20"/>
              </w:rPr>
              <w:t>已递交的保证金金额：</w:t>
            </w:r>
          </w:p>
        </w:tc>
        <w:tc>
          <w:tcPr>
            <w:tcW w:w="55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p>
        </w:tc>
      </w:tr>
      <w:tr>
        <w:tblPrEx>
          <w:tblCellMar>
            <w:top w:w="0" w:type="dxa"/>
            <w:left w:w="0" w:type="dxa"/>
            <w:bottom w:w="0" w:type="dxa"/>
            <w:right w:w="0" w:type="dxa"/>
          </w:tblCellMar>
        </w:tblPrEx>
        <w:trPr>
          <w:trHeight w:val="454" w:hRule="exact"/>
          <w:jc w:val="center"/>
        </w:trPr>
        <w:tc>
          <w:tcPr>
            <w:tcW w:w="8371"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center"/>
              <w:rPr>
                <w:rFonts w:ascii="宋体" w:hAnsi="宋体" w:cs="宋体"/>
                <w:b/>
                <w:sz w:val="24"/>
                <w:szCs w:val="20"/>
              </w:rPr>
            </w:pPr>
            <w:r>
              <w:rPr>
                <w:rFonts w:hint="eastAsia" w:ascii="宋体" w:hAnsi="宋体" w:cs="宋体"/>
                <w:b/>
                <w:sz w:val="24"/>
                <w:szCs w:val="20"/>
              </w:rPr>
              <w:t>保证金的退还</w:t>
            </w:r>
          </w:p>
        </w:tc>
      </w:tr>
      <w:tr>
        <w:tblPrEx>
          <w:tblCellMar>
            <w:top w:w="0" w:type="dxa"/>
            <w:left w:w="0" w:type="dxa"/>
            <w:bottom w:w="0" w:type="dxa"/>
            <w:right w:w="0" w:type="dxa"/>
          </w:tblCellMar>
        </w:tblPrEx>
        <w:trPr>
          <w:trHeight w:val="454" w:hRule="exact"/>
          <w:jc w:val="center"/>
        </w:trPr>
        <w:tc>
          <w:tcPr>
            <w:tcW w:w="28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r>
              <w:rPr>
                <w:rFonts w:hint="eastAsia" w:ascii="宋体" w:hAnsi="宋体" w:cs="宋体"/>
                <w:sz w:val="24"/>
                <w:szCs w:val="20"/>
              </w:rPr>
              <w:t>开户行：</w:t>
            </w:r>
          </w:p>
        </w:tc>
        <w:tc>
          <w:tcPr>
            <w:tcW w:w="55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p>
        </w:tc>
      </w:tr>
      <w:tr>
        <w:tblPrEx>
          <w:tblCellMar>
            <w:top w:w="0" w:type="dxa"/>
            <w:left w:w="0" w:type="dxa"/>
            <w:bottom w:w="0" w:type="dxa"/>
            <w:right w:w="0" w:type="dxa"/>
          </w:tblCellMar>
        </w:tblPrEx>
        <w:trPr>
          <w:trHeight w:val="454" w:hRule="exact"/>
          <w:jc w:val="center"/>
        </w:trPr>
        <w:tc>
          <w:tcPr>
            <w:tcW w:w="28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r>
              <w:rPr>
                <w:rFonts w:hint="eastAsia" w:ascii="宋体" w:hAnsi="宋体" w:cs="宋体"/>
                <w:sz w:val="24"/>
                <w:szCs w:val="20"/>
              </w:rPr>
              <w:t>户  名：</w:t>
            </w:r>
          </w:p>
        </w:tc>
        <w:tc>
          <w:tcPr>
            <w:tcW w:w="55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p>
        </w:tc>
      </w:tr>
      <w:tr>
        <w:tblPrEx>
          <w:tblCellMar>
            <w:top w:w="0" w:type="dxa"/>
            <w:left w:w="0" w:type="dxa"/>
            <w:bottom w:w="0" w:type="dxa"/>
            <w:right w:w="0" w:type="dxa"/>
          </w:tblCellMar>
        </w:tblPrEx>
        <w:trPr>
          <w:trHeight w:val="454" w:hRule="exact"/>
          <w:jc w:val="center"/>
        </w:trPr>
        <w:tc>
          <w:tcPr>
            <w:tcW w:w="28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r>
              <w:rPr>
                <w:rFonts w:hint="eastAsia" w:ascii="宋体" w:hAnsi="宋体" w:cs="宋体"/>
                <w:sz w:val="24"/>
                <w:szCs w:val="20"/>
              </w:rPr>
              <w:t>帐  号：</w:t>
            </w:r>
          </w:p>
        </w:tc>
        <w:tc>
          <w:tcPr>
            <w:tcW w:w="55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p>
        </w:tc>
      </w:tr>
      <w:tr>
        <w:tblPrEx>
          <w:tblCellMar>
            <w:top w:w="0" w:type="dxa"/>
            <w:left w:w="0" w:type="dxa"/>
            <w:bottom w:w="0" w:type="dxa"/>
            <w:right w:w="0" w:type="dxa"/>
          </w:tblCellMar>
        </w:tblPrEx>
        <w:trPr>
          <w:trHeight w:val="454" w:hRule="exact"/>
          <w:jc w:val="center"/>
        </w:trPr>
        <w:tc>
          <w:tcPr>
            <w:tcW w:w="28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r>
              <w:rPr>
                <w:rFonts w:hint="eastAsia" w:ascii="宋体" w:hAnsi="宋体" w:cs="宋体"/>
                <w:sz w:val="24"/>
                <w:szCs w:val="20"/>
              </w:rPr>
              <w:t>保证金退还联系人：</w:t>
            </w:r>
          </w:p>
        </w:tc>
        <w:tc>
          <w:tcPr>
            <w:tcW w:w="55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p>
        </w:tc>
      </w:tr>
      <w:tr>
        <w:tblPrEx>
          <w:tblCellMar>
            <w:top w:w="0" w:type="dxa"/>
            <w:left w:w="0" w:type="dxa"/>
            <w:bottom w:w="0" w:type="dxa"/>
            <w:right w:w="0" w:type="dxa"/>
          </w:tblCellMar>
        </w:tblPrEx>
        <w:trPr>
          <w:trHeight w:val="454" w:hRule="exact"/>
          <w:jc w:val="center"/>
        </w:trPr>
        <w:tc>
          <w:tcPr>
            <w:tcW w:w="282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r>
              <w:rPr>
                <w:rFonts w:hint="eastAsia" w:ascii="宋体" w:hAnsi="宋体" w:cs="宋体"/>
                <w:sz w:val="24"/>
                <w:szCs w:val="20"/>
              </w:rPr>
              <w:t>联系电话：</w:t>
            </w:r>
          </w:p>
        </w:tc>
        <w:tc>
          <w:tcPr>
            <w:tcW w:w="5550"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widowControl/>
              <w:snapToGrid w:val="0"/>
              <w:spacing w:line="360" w:lineRule="auto"/>
              <w:jc w:val="left"/>
              <w:rPr>
                <w:rFonts w:ascii="宋体" w:hAnsi="宋体" w:cs="宋体"/>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71" w:type="dxa"/>
            <w:gridSpan w:val="2"/>
          </w:tcPr>
          <w:p>
            <w:pPr>
              <w:spacing w:line="360" w:lineRule="auto"/>
              <w:rPr>
                <w:rFonts w:ascii="宋体" w:hAnsi="宋体" w:cs="宋体"/>
                <w:sz w:val="24"/>
                <w:szCs w:val="20"/>
              </w:rPr>
            </w:pPr>
          </w:p>
          <w:p>
            <w:pPr>
              <w:spacing w:line="360" w:lineRule="auto"/>
              <w:rPr>
                <w:rFonts w:ascii="宋体" w:hAnsi="宋体" w:cs="宋体"/>
                <w:sz w:val="24"/>
                <w:szCs w:val="20"/>
              </w:rPr>
            </w:pPr>
          </w:p>
          <w:p>
            <w:pPr>
              <w:spacing w:line="360" w:lineRule="auto"/>
              <w:rPr>
                <w:rFonts w:ascii="宋体" w:hAnsi="宋体" w:cs="宋体"/>
                <w:sz w:val="24"/>
                <w:szCs w:val="20"/>
              </w:rPr>
            </w:pPr>
          </w:p>
          <w:p>
            <w:pPr>
              <w:spacing w:line="360" w:lineRule="auto"/>
              <w:jc w:val="center"/>
              <w:rPr>
                <w:rFonts w:ascii="宋体" w:hAnsi="宋体" w:cs="宋体"/>
                <w:sz w:val="24"/>
                <w:szCs w:val="20"/>
              </w:rPr>
            </w:pPr>
            <w:r>
              <w:rPr>
                <w:rFonts w:hint="eastAsia" w:ascii="宋体" w:hAnsi="宋体" w:cs="宋体"/>
                <w:sz w:val="24"/>
                <w:szCs w:val="20"/>
              </w:rPr>
              <w:t>（谈判保证金汇款凭证）</w:t>
            </w:r>
          </w:p>
          <w:p>
            <w:pPr>
              <w:spacing w:line="360" w:lineRule="auto"/>
              <w:rPr>
                <w:rFonts w:ascii="宋体" w:hAnsi="宋体" w:cs="宋体"/>
                <w:sz w:val="24"/>
                <w:szCs w:val="20"/>
              </w:rPr>
            </w:pPr>
          </w:p>
          <w:p>
            <w:pPr>
              <w:spacing w:line="360" w:lineRule="auto"/>
              <w:rPr>
                <w:rFonts w:ascii="宋体" w:hAnsi="宋体" w:cs="宋体"/>
                <w:sz w:val="24"/>
                <w:szCs w:val="20"/>
              </w:rPr>
            </w:pPr>
          </w:p>
          <w:p>
            <w:pPr>
              <w:spacing w:line="360" w:lineRule="auto"/>
              <w:rPr>
                <w:rFonts w:ascii="宋体" w:hAnsi="宋体" w:cs="宋体"/>
                <w:sz w:val="24"/>
                <w:szCs w:val="20"/>
              </w:rPr>
            </w:pPr>
          </w:p>
        </w:tc>
      </w:tr>
    </w:tbl>
    <w:p>
      <w:pPr>
        <w:pStyle w:val="2"/>
        <w:ind w:left="1260"/>
        <w:sectPr>
          <w:pgSz w:w="11906" w:h="16838"/>
          <w:pgMar w:top="1440" w:right="1440" w:bottom="1440" w:left="1440" w:header="851" w:footer="992" w:gutter="0"/>
          <w:cols w:space="720" w:num="1"/>
          <w:docGrid w:linePitch="579" w:charSpace="-1844"/>
        </w:sectPr>
      </w:pPr>
    </w:p>
    <w:p>
      <w:pPr>
        <w:pStyle w:val="2"/>
        <w:ind w:left="1260"/>
      </w:pPr>
    </w:p>
    <w:p>
      <w:pPr>
        <w:rPr>
          <w:rFonts w:ascii="黑体" w:hAnsi="黑体" w:eastAsia="黑体" w:cs="Times New Roman"/>
          <w:kern w:val="0"/>
          <w:sz w:val="32"/>
          <w:szCs w:val="32"/>
        </w:rPr>
      </w:pPr>
      <w:r>
        <w:rPr>
          <w:rFonts w:hint="eastAsia" w:ascii="黑体" w:hAnsi="黑体" w:eastAsia="黑体" w:cs="Times New Roman"/>
          <w:kern w:val="0"/>
          <w:sz w:val="32"/>
          <w:szCs w:val="32"/>
        </w:rPr>
        <w:t>附件11</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整体实施计划及施工方案</w:t>
      </w:r>
    </w:p>
    <w:p>
      <w:pPr>
        <w:ind w:firstLine="560" w:firstLineChars="200"/>
        <w:rPr>
          <w:rFonts w:ascii="Times New Roman" w:hAnsi="Times New Roman" w:eastAsia="宋体" w:cs="Times New Roman"/>
          <w:kern w:val="0"/>
          <w:sz w:val="28"/>
          <w:szCs w:val="28"/>
          <w:lang w:val="zh-CN"/>
        </w:rPr>
      </w:pPr>
    </w:p>
    <w:p>
      <w:pPr>
        <w:ind w:firstLine="640" w:firstLineChars="200"/>
        <w:jc w:val="center"/>
        <w:rPr>
          <w:rFonts w:ascii="仿宋_GB2312" w:hAnsi="Times New Roman" w:eastAsia="仿宋_GB2312" w:cs="Times New Roman"/>
          <w:kern w:val="0"/>
          <w:sz w:val="32"/>
          <w:szCs w:val="32"/>
          <w:lang w:val="zh-CN"/>
        </w:rPr>
      </w:pPr>
      <w:r>
        <w:rPr>
          <w:rFonts w:hint="eastAsia" w:ascii="仿宋_GB2312" w:hAnsi="Times New Roman" w:eastAsia="仿宋_GB2312" w:cs="Times New Roman"/>
          <w:kern w:val="0"/>
          <w:sz w:val="32"/>
          <w:szCs w:val="32"/>
          <w:lang w:val="zh-CN"/>
        </w:rPr>
        <w:t>（供应商对照商务评审表中售后服务评审项自行编制。）</w:t>
      </w: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autoSpaceDE w:val="0"/>
        <w:autoSpaceDN w:val="0"/>
        <w:adjustRightInd w:val="0"/>
        <w:ind w:firstLine="403" w:firstLineChars="168"/>
        <w:rPr>
          <w:rFonts w:ascii="Times New Roman" w:hAnsi="Times New Roman" w:eastAsia="宋体" w:cs="Times New Roman"/>
          <w:kern w:val="0"/>
          <w:sz w:val="24"/>
          <w:szCs w:val="24"/>
          <w:lang w:val="zh-CN"/>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黑体" w:hAnsi="黑体" w:eastAsia="黑体" w:cs="Times New Roman"/>
          <w:kern w:val="0"/>
          <w:sz w:val="28"/>
          <w:szCs w:val="28"/>
        </w:rPr>
      </w:pPr>
    </w:p>
    <w:p>
      <w:pPr>
        <w:rPr>
          <w:rFonts w:ascii="黑体" w:hAnsi="黑体" w:eastAsia="黑体" w:cs="Times New Roman"/>
          <w:kern w:val="0"/>
          <w:sz w:val="28"/>
          <w:szCs w:val="28"/>
        </w:rPr>
      </w:pPr>
    </w:p>
    <w:p>
      <w:pPr>
        <w:rPr>
          <w:rFonts w:ascii="黑体" w:hAnsi="黑体" w:eastAsia="黑体" w:cs="Times New Roman"/>
          <w:kern w:val="0"/>
          <w:sz w:val="28"/>
          <w:szCs w:val="28"/>
        </w:rPr>
      </w:pPr>
    </w:p>
    <w:p>
      <w:pPr>
        <w:rPr>
          <w:rFonts w:ascii="黑体" w:hAnsi="黑体" w:eastAsia="黑体" w:cs="Times New Roman"/>
          <w:kern w:val="0"/>
          <w:sz w:val="28"/>
          <w:szCs w:val="28"/>
        </w:rPr>
        <w:sectPr>
          <w:pgSz w:w="11906" w:h="16838"/>
          <w:pgMar w:top="1440" w:right="1440" w:bottom="1440" w:left="1440" w:header="851" w:footer="992" w:gutter="0"/>
          <w:cols w:space="720" w:num="1"/>
          <w:docGrid w:linePitch="579" w:charSpace="-1844"/>
        </w:sectPr>
      </w:pPr>
    </w:p>
    <w:p>
      <w:pPr>
        <w:rPr>
          <w:rFonts w:ascii="黑体" w:hAnsi="黑体" w:eastAsia="黑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w:t>
      </w:r>
      <w:r>
        <w:rPr>
          <w:rFonts w:ascii="黑体" w:hAnsi="黑体" w:eastAsia="黑体" w:cs="Times New Roman"/>
          <w:kern w:val="0"/>
          <w:sz w:val="32"/>
          <w:szCs w:val="32"/>
        </w:rPr>
        <w:t>1</w:t>
      </w:r>
      <w:r>
        <w:rPr>
          <w:rFonts w:hint="eastAsia" w:ascii="黑体" w:hAnsi="黑体" w:eastAsia="黑体" w:cs="Times New Roman"/>
          <w:kern w:val="0"/>
          <w:sz w:val="32"/>
          <w:szCs w:val="32"/>
        </w:rPr>
        <w:t>2</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售后服务及承诺</w:t>
      </w:r>
    </w:p>
    <w:p>
      <w:pPr>
        <w:ind w:firstLine="560" w:firstLineChars="200"/>
        <w:rPr>
          <w:rFonts w:ascii="Times New Roman" w:hAnsi="Times New Roman" w:eastAsia="宋体" w:cs="Times New Roman"/>
          <w:snapToGrid w:val="0"/>
          <w:kern w:val="0"/>
          <w:sz w:val="28"/>
          <w:szCs w:val="28"/>
          <w:lang w:val="zh-CN"/>
        </w:rPr>
      </w:pPr>
    </w:p>
    <w:p>
      <w:pPr>
        <w:ind w:firstLine="640" w:firstLineChars="200"/>
        <w:rPr>
          <w:rFonts w:ascii="仿宋_GB2312" w:hAnsi="Times New Roman" w:eastAsia="仿宋_GB2312" w:cs="Times New Roman"/>
          <w:kern w:val="0"/>
          <w:sz w:val="32"/>
          <w:szCs w:val="32"/>
          <w:lang w:val="zh-CN"/>
        </w:rPr>
      </w:pPr>
      <w:r>
        <w:rPr>
          <w:rFonts w:hint="eastAsia" w:ascii="仿宋_GB2312" w:hAnsi="Times New Roman" w:eastAsia="仿宋_GB2312" w:cs="Times New Roman"/>
          <w:kern w:val="0"/>
          <w:sz w:val="32"/>
          <w:szCs w:val="32"/>
          <w:lang w:val="zh-CN"/>
        </w:rPr>
        <w:t>（供应商对照商务评审表中售后服务评审项自行编制。）</w:t>
      </w: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32"/>
          <w:szCs w:val="32"/>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Times New Roman" w:hAnsi="Times New Roman" w:eastAsia="宋体" w:cs="Times New Roman"/>
          <w:kern w:val="0"/>
          <w:sz w:val="28"/>
          <w:szCs w:val="28"/>
        </w:rPr>
      </w:pPr>
    </w:p>
    <w:p>
      <w:pPr>
        <w:rPr>
          <w:rFonts w:ascii="Times New Roman" w:hAnsi="Times New Roman" w:eastAsia="宋体" w:cs="Times New Roman"/>
          <w:kern w:val="0"/>
          <w:sz w:val="28"/>
          <w:szCs w:val="28"/>
        </w:rPr>
      </w:pPr>
    </w:p>
    <w:p>
      <w:pPr>
        <w:rPr>
          <w:rFonts w:ascii="Times New Roman" w:hAnsi="Times New Roman" w:eastAsia="宋体" w:cs="Times New Roman"/>
          <w:kern w:val="0"/>
          <w:sz w:val="28"/>
          <w:szCs w:val="28"/>
        </w:rPr>
      </w:pPr>
    </w:p>
    <w:p>
      <w:pPr>
        <w:rPr>
          <w:rFonts w:ascii="Times New Roman" w:hAnsi="Times New Roman" w:eastAsia="宋体" w:cs="Times New Roman"/>
          <w:kern w:val="0"/>
          <w:sz w:val="28"/>
          <w:szCs w:val="28"/>
        </w:rPr>
        <w:sectPr>
          <w:pgSz w:w="11906" w:h="16838"/>
          <w:pgMar w:top="1440" w:right="1440" w:bottom="1440" w:left="1440" w:header="851" w:footer="992" w:gutter="0"/>
          <w:cols w:space="720" w:num="1"/>
          <w:docGrid w:linePitch="579" w:charSpace="-1844"/>
        </w:sectPr>
      </w:pPr>
    </w:p>
    <w:p>
      <w:pPr>
        <w:rPr>
          <w:rFonts w:ascii="Times New Roman" w:hAnsi="Times New Roman" w:eastAsia="宋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w:t>
      </w:r>
      <w:r>
        <w:rPr>
          <w:rFonts w:ascii="黑体" w:hAnsi="黑体" w:eastAsia="黑体" w:cs="Times New Roman"/>
          <w:kern w:val="0"/>
          <w:sz w:val="32"/>
          <w:szCs w:val="32"/>
        </w:rPr>
        <w:t>1</w:t>
      </w:r>
      <w:r>
        <w:rPr>
          <w:rFonts w:hint="eastAsia" w:ascii="黑体" w:hAnsi="黑体" w:eastAsia="黑体" w:cs="Times New Roman"/>
          <w:kern w:val="0"/>
          <w:sz w:val="32"/>
          <w:szCs w:val="32"/>
        </w:rPr>
        <w:t>3</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保密承诺书</w:t>
      </w:r>
    </w:p>
    <w:p>
      <w:pPr>
        <w:spacing w:line="240" w:lineRule="exact"/>
        <w:rPr>
          <w:rFonts w:ascii="Times New Roman" w:hAnsi="Times New Roman" w:eastAsia="宋体" w:cs="Times New Roman"/>
          <w:kern w:val="0"/>
          <w:sz w:val="32"/>
          <w:szCs w:val="32"/>
        </w:rPr>
      </w:pPr>
    </w:p>
    <w:p>
      <w:pPr>
        <w:spacing w:line="520" w:lineRule="exact"/>
        <w:rPr>
          <w:rFonts w:ascii="仿宋_GB2312" w:hAnsi="Times New Roman" w:eastAsia="仿宋_GB2312" w:cs="Times New Roman"/>
          <w:snapToGrid w:val="0"/>
          <w:kern w:val="0"/>
          <w:sz w:val="32"/>
          <w:szCs w:val="32"/>
        </w:rPr>
      </w:pPr>
      <w:r>
        <w:rPr>
          <w:rFonts w:hint="eastAsia" w:ascii="仿宋_GB2312" w:hAnsi="仿宋" w:eastAsia="仿宋_GB2312" w:cs="Times New Roman"/>
          <w:kern w:val="0"/>
          <w:sz w:val="32"/>
          <w:szCs w:val="32"/>
        </w:rPr>
        <w:t>安徽省永丰粮食购销有限公司</w:t>
      </w:r>
      <w:r>
        <w:rPr>
          <w:rFonts w:hint="eastAsia" w:ascii="仿宋_GB2312" w:hAnsi="Times New Roman" w:eastAsia="仿宋_GB2312" w:cs="Times New Roman"/>
          <w:snapToGrid w:val="0"/>
          <w:kern w:val="0"/>
          <w:sz w:val="32"/>
          <w:szCs w:val="32"/>
        </w:rPr>
        <w:t>：</w:t>
      </w:r>
    </w:p>
    <w:p>
      <w:pPr>
        <w:autoSpaceDE w:val="0"/>
        <w:autoSpaceDN w:val="0"/>
        <w:adjustRightInd w:val="0"/>
        <w:ind w:firstLine="640"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lang w:val="zh-CN"/>
        </w:rPr>
        <w:t>我方参加贵单位组织的编号为</w:t>
      </w:r>
      <w:r>
        <w:rPr>
          <w:rFonts w:hint="eastAsia" w:ascii="仿宋_GB2312" w:hAnsi="Times New Roman" w:eastAsia="仿宋_GB2312" w:cs="Times New Roman"/>
          <w:kern w:val="0"/>
          <w:sz w:val="32"/>
          <w:szCs w:val="32"/>
        </w:rPr>
        <w:t>、项目采购活动，根据有关保密法规制度，知悉应当承担的保密义务和法律责任，承诺如下：</w:t>
      </w:r>
    </w:p>
    <w:p>
      <w:pPr>
        <w:autoSpaceDE w:val="0"/>
        <w:autoSpaceDN w:val="0"/>
        <w:adjustRightInd w:val="0"/>
        <w:ind w:firstLine="640"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一、严格遵守国家的保密法律法规和规章制度，履行保密义务。</w:t>
      </w:r>
    </w:p>
    <w:p>
      <w:pPr>
        <w:autoSpaceDE w:val="0"/>
        <w:autoSpaceDN w:val="0"/>
        <w:adjustRightInd w:val="0"/>
        <w:ind w:firstLine="640"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二、不以任何方式泄露或传播本次采购项目相关信息。</w:t>
      </w:r>
    </w:p>
    <w:p>
      <w:pPr>
        <w:autoSpaceDE w:val="0"/>
        <w:autoSpaceDN w:val="0"/>
        <w:adjustRightInd w:val="0"/>
        <w:ind w:firstLine="640"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三、不违规记录、存储、复制本次采购项目相关信息。</w:t>
      </w:r>
    </w:p>
    <w:p>
      <w:pPr>
        <w:autoSpaceDE w:val="0"/>
        <w:autoSpaceDN w:val="0"/>
        <w:adjustRightInd w:val="0"/>
        <w:ind w:firstLine="640"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四、谈判文件以及相关技术文件专室放置、专盘存储、专人管理。</w:t>
      </w:r>
    </w:p>
    <w:p>
      <w:pPr>
        <w:autoSpaceDE w:val="0"/>
        <w:autoSpaceDN w:val="0"/>
        <w:adjustRightInd w:val="0"/>
        <w:ind w:firstLine="640"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 xml:space="preserve">五、未经采购人审查批准，不得擅自在互联网、通讯媒体等发表涉及此次采购项目相关内容或资讯。 </w:t>
      </w:r>
    </w:p>
    <w:p>
      <w:pPr>
        <w:autoSpaceDE w:val="0"/>
        <w:autoSpaceDN w:val="0"/>
        <w:adjustRightInd w:val="0"/>
        <w:ind w:firstLine="640"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违反上述承诺，愿承担一切法律责任，接受采购管理部门和采购人按国家规定作出的相关处罚。</w:t>
      </w:r>
    </w:p>
    <w:p>
      <w:pPr>
        <w:spacing w:line="560" w:lineRule="exact"/>
        <w:ind w:firstLine="1125" w:firstLineChars="402"/>
        <w:rPr>
          <w:rFonts w:ascii="Times New Roman" w:hAnsi="Times New Roman" w:eastAsia="宋体" w:cs="Times New Roman"/>
          <w:kern w:val="0"/>
          <w:sz w:val="28"/>
          <w:szCs w:val="28"/>
        </w:rPr>
      </w:pPr>
    </w:p>
    <w:p>
      <w:pPr>
        <w:spacing w:line="560" w:lineRule="exact"/>
        <w:ind w:firstLine="1125" w:firstLineChars="402"/>
        <w:rPr>
          <w:rFonts w:ascii="Times New Roman" w:hAnsi="Times New Roman" w:eastAsia="宋体" w:cs="Times New Roman"/>
          <w:kern w:val="0"/>
          <w:sz w:val="28"/>
          <w:szCs w:val="28"/>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rPr>
          <w:rFonts w:ascii="Times New Roman" w:hAnsi="Times New Roman" w:eastAsia="宋体" w:cs="Times New Roman"/>
          <w:kern w:val="0"/>
          <w:sz w:val="28"/>
          <w:szCs w:val="28"/>
        </w:rPr>
        <w:sectPr>
          <w:pgSz w:w="11906" w:h="16838"/>
          <w:pgMar w:top="1440" w:right="1440" w:bottom="1440" w:left="1440" w:header="851" w:footer="992" w:gutter="0"/>
          <w:cols w:space="720" w:num="1"/>
          <w:docGrid w:linePitch="579" w:charSpace="-1844"/>
        </w:sectPr>
      </w:pPr>
    </w:p>
    <w:p>
      <w:pPr>
        <w:rPr>
          <w:rFonts w:ascii="Times New Roman" w:hAnsi="Times New Roman" w:eastAsia="宋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附件14</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近3年中标成交案例及同类项目案例</w:t>
      </w:r>
    </w:p>
    <w:p>
      <w:pPr>
        <w:rPr>
          <w:rFonts w:ascii="宋体" w:hAnsi="宋体" w:eastAsia="宋体" w:cs="Times New Roman"/>
          <w:kern w:val="0"/>
          <w:sz w:val="24"/>
          <w:szCs w:val="24"/>
        </w:rPr>
      </w:pPr>
      <w:r>
        <w:rPr>
          <w:rFonts w:hint="eastAsia" w:ascii="宋体" w:hAnsi="宋体" w:eastAsia="宋体" w:cs="Times New Roman"/>
          <w:kern w:val="0"/>
          <w:sz w:val="24"/>
          <w:szCs w:val="24"/>
        </w:rPr>
        <w:t xml:space="preserve">项目名称：                       项目编号：                     包号：   </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9"/>
        <w:gridCol w:w="858"/>
        <w:gridCol w:w="996"/>
        <w:gridCol w:w="1715"/>
        <w:gridCol w:w="1421"/>
        <w:gridCol w:w="1076"/>
        <w:gridCol w:w="1481"/>
        <w:gridCol w:w="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7" w:hRule="exact"/>
          <w:jc w:val="center"/>
        </w:trPr>
        <w:tc>
          <w:tcPr>
            <w:tcW w:w="400"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序号</w:t>
            </w:r>
          </w:p>
        </w:tc>
        <w:tc>
          <w:tcPr>
            <w:tcW w:w="464"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用户</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名称</w:t>
            </w:r>
          </w:p>
        </w:tc>
        <w:tc>
          <w:tcPr>
            <w:tcW w:w="539"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项目</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名称</w:t>
            </w:r>
          </w:p>
        </w:tc>
        <w:tc>
          <w:tcPr>
            <w:tcW w:w="928"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项目内容</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（包括同类项目，产品名称、型号等）</w:t>
            </w:r>
          </w:p>
        </w:tc>
        <w:tc>
          <w:tcPr>
            <w:tcW w:w="769"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合同有效</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金额（万元）</w:t>
            </w:r>
          </w:p>
        </w:tc>
        <w:tc>
          <w:tcPr>
            <w:tcW w:w="582"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签订</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日期</w:t>
            </w:r>
          </w:p>
        </w:tc>
        <w:tc>
          <w:tcPr>
            <w:tcW w:w="801"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用户联系</w:t>
            </w:r>
          </w:p>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人及电话</w:t>
            </w:r>
          </w:p>
        </w:tc>
        <w:tc>
          <w:tcPr>
            <w:tcW w:w="517"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464"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tcPr>
          <w:p>
            <w:pPr>
              <w:spacing w:line="300" w:lineRule="exact"/>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exact"/>
          <w:jc w:val="center"/>
        </w:trPr>
        <w:tc>
          <w:tcPr>
            <w:tcW w:w="400"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r>
              <w:rPr>
                <w:rFonts w:hint="eastAsia" w:ascii="宋体" w:hAnsi="宋体" w:eastAsia="宋体" w:cs="Times New Roman"/>
                <w:sz w:val="24"/>
                <w:szCs w:val="24"/>
              </w:rPr>
              <w:t>合计</w:t>
            </w:r>
          </w:p>
        </w:tc>
        <w:tc>
          <w:tcPr>
            <w:tcW w:w="464"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539"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928"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769"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582"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801"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c>
          <w:tcPr>
            <w:tcW w:w="517" w:type="pct"/>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eastAsia="宋体" w:cs="Times New Roman"/>
                <w:sz w:val="24"/>
                <w:szCs w:val="24"/>
              </w:rPr>
            </w:pPr>
          </w:p>
        </w:tc>
      </w:tr>
    </w:tbl>
    <w:p>
      <w:pPr>
        <w:ind w:left="960" w:hanging="960" w:hangingChars="400"/>
        <w:rPr>
          <w:rFonts w:ascii="宋体" w:hAnsi="宋体" w:eastAsia="宋体" w:cs="Times New Roman"/>
          <w:bCs/>
          <w:kern w:val="0"/>
          <w:sz w:val="24"/>
          <w:szCs w:val="24"/>
        </w:rPr>
      </w:pPr>
      <w:r>
        <w:rPr>
          <w:rFonts w:hint="eastAsia" w:ascii="宋体" w:hAnsi="宋体" w:eastAsia="宋体" w:cs="Times New Roman"/>
          <w:bCs/>
          <w:kern w:val="0"/>
          <w:sz w:val="24"/>
          <w:szCs w:val="24"/>
        </w:rPr>
        <w:t>备注：1.同类项目指本次招标的产品或同类产品。合同有效金额是指合同中本次招标的产品或同类产品金额。</w:t>
      </w:r>
    </w:p>
    <w:p>
      <w:pPr>
        <w:ind w:left="958" w:leftChars="342" w:hanging="240" w:hangingChars="100"/>
        <w:rPr>
          <w:rFonts w:ascii="宋体" w:hAnsi="宋体" w:eastAsia="宋体" w:cs="Times New Roman"/>
          <w:bCs/>
          <w:kern w:val="0"/>
          <w:sz w:val="24"/>
          <w:szCs w:val="24"/>
        </w:rPr>
      </w:pPr>
      <w:r>
        <w:rPr>
          <w:rFonts w:hint="eastAsia" w:ascii="宋体" w:hAnsi="宋体" w:eastAsia="宋体" w:cs="Times New Roman"/>
          <w:bCs/>
          <w:kern w:val="0"/>
          <w:sz w:val="24"/>
          <w:szCs w:val="24"/>
        </w:rPr>
        <w:t>2.供应商应附销售合同复印件，按合同有效金额由高到低顺序装订，包括：合同首尾页、签字盖章页、合同金额页、产品信息页。</w:t>
      </w:r>
    </w:p>
    <w:p>
      <w:pPr>
        <w:ind w:left="958" w:leftChars="342" w:hanging="240" w:hangingChars="100"/>
        <w:rPr>
          <w:rFonts w:ascii="宋体" w:hAnsi="宋体" w:eastAsia="宋体" w:cs="Times New Roman"/>
          <w:bCs/>
          <w:kern w:val="0"/>
          <w:sz w:val="24"/>
          <w:szCs w:val="24"/>
        </w:rPr>
      </w:pPr>
      <w:r>
        <w:rPr>
          <w:rFonts w:hint="eastAsia" w:ascii="宋体" w:hAnsi="宋体" w:eastAsia="宋体" w:cs="Times New Roman"/>
          <w:bCs/>
          <w:kern w:val="0"/>
          <w:sz w:val="24"/>
          <w:szCs w:val="24"/>
        </w:rPr>
        <w:t>3.供应商提供虚假合同的，按虚假投标处理。</w:t>
      </w:r>
    </w:p>
    <w:p>
      <w:pPr>
        <w:jc w:val="center"/>
        <w:rPr>
          <w:rFonts w:ascii="Times New Roman" w:hAnsi="Times New Roman" w:eastAsia="宋体" w:cs="Times New Roman"/>
          <w:kern w:val="0"/>
          <w:sz w:val="28"/>
          <w:szCs w:val="28"/>
          <w:lang w:val="zh-CN"/>
        </w:rPr>
      </w:pPr>
    </w:p>
    <w:p>
      <w:pPr>
        <w:jc w:val="center"/>
        <w:rPr>
          <w:rFonts w:ascii="Times New Roman" w:hAnsi="Times New Roman" w:eastAsia="宋体" w:cs="Times New Roman"/>
          <w:kern w:val="0"/>
          <w:sz w:val="28"/>
          <w:szCs w:val="28"/>
          <w:lang w:val="zh-CN"/>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供应商全称：（盖章）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ind w:firstLine="6333" w:firstLineChars="2639"/>
        <w:jc w:val="right"/>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敷时，可以另加页</w:t>
      </w:r>
    </w:p>
    <w:p>
      <w:pPr>
        <w:rPr>
          <w:rFonts w:ascii="黑体" w:hAnsi="黑体" w:eastAsia="黑体" w:cs="Times New Roman"/>
          <w:kern w:val="0"/>
          <w:sz w:val="32"/>
          <w:szCs w:val="32"/>
        </w:rPr>
        <w:sectPr>
          <w:pgSz w:w="11906" w:h="16838"/>
          <w:pgMar w:top="1440" w:right="1440" w:bottom="1440" w:left="1440" w:header="851" w:footer="992" w:gutter="0"/>
          <w:cols w:space="720" w:num="1"/>
          <w:docGrid w:linePitch="579" w:charSpace="-1844"/>
        </w:sectPr>
      </w:pPr>
    </w:p>
    <w:p>
      <w:pPr>
        <w:rPr>
          <w:rFonts w:ascii="黑体" w:hAnsi="黑体" w:eastAsia="黑体" w:cs="Times New Roman"/>
          <w:kern w:val="0"/>
          <w:sz w:val="32"/>
          <w:szCs w:val="32"/>
        </w:rPr>
      </w:pPr>
      <w:r>
        <w:rPr>
          <w:rFonts w:ascii="黑体" w:hAnsi="黑体" w:eastAsia="黑体" w:cs="Times New Roman"/>
          <w:kern w:val="0"/>
          <w:sz w:val="32"/>
          <w:szCs w:val="32"/>
        </w:rPr>
        <w:tab/>
      </w:r>
      <w:r>
        <w:rPr>
          <w:rFonts w:hint="eastAsia" w:ascii="黑体" w:hAnsi="黑体" w:eastAsia="黑体" w:cs="Times New Roman"/>
          <w:kern w:val="0"/>
          <w:sz w:val="32"/>
          <w:szCs w:val="32"/>
        </w:rPr>
        <w:t>附件</w:t>
      </w:r>
      <w:r>
        <w:rPr>
          <w:rFonts w:ascii="黑体" w:hAnsi="黑体" w:eastAsia="黑体" w:cs="Times New Roman"/>
          <w:kern w:val="0"/>
          <w:sz w:val="32"/>
          <w:szCs w:val="32"/>
        </w:rPr>
        <w:t>15</w:t>
      </w:r>
    </w:p>
    <w:p>
      <w:pPr>
        <w:spacing w:line="560" w:lineRule="exact"/>
        <w:jc w:val="center"/>
        <w:rPr>
          <w:rFonts w:ascii="Times New Roman" w:hAnsi="Times New Roman" w:eastAsia="方正小标宋简体" w:cs="Times New Roman"/>
          <w:bCs/>
          <w:sz w:val="44"/>
          <w:szCs w:val="44"/>
        </w:rPr>
      </w:pPr>
      <w:r>
        <w:rPr>
          <w:rFonts w:ascii="Times New Roman" w:hAnsi="Times New Roman" w:eastAsia="方正小标宋简体" w:cs="Times New Roman"/>
          <w:bCs/>
          <w:sz w:val="44"/>
          <w:szCs w:val="44"/>
        </w:rPr>
        <w:t>法定代表人资格证明书</w:t>
      </w:r>
    </w:p>
    <w:p>
      <w:pPr>
        <w:ind w:firstLine="560" w:firstLineChars="200"/>
        <w:rPr>
          <w:rFonts w:ascii="Times New Roman" w:hAnsi="Times New Roman" w:eastAsia="楷体_GB2312" w:cs="Times New Roman"/>
          <w:sz w:val="28"/>
          <w:szCs w:val="28"/>
        </w:rPr>
      </w:pP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u w:val="single"/>
        </w:rPr>
        <w:t>（法定代表人姓名）</w:t>
      </w:r>
      <w:r>
        <w:rPr>
          <w:rFonts w:hint="eastAsia" w:ascii="仿宋_GB2312" w:hAnsi="Times New Roman" w:eastAsia="仿宋_GB2312" w:cs="Times New Roman"/>
          <w:sz w:val="32"/>
          <w:szCs w:val="32"/>
        </w:rPr>
        <w:t>系</w:t>
      </w:r>
      <w:r>
        <w:rPr>
          <w:rFonts w:hint="eastAsia" w:ascii="仿宋_GB2312" w:hAnsi="Times New Roman" w:eastAsia="仿宋_GB2312" w:cs="Times New Roman"/>
          <w:sz w:val="32"/>
          <w:szCs w:val="32"/>
          <w:u w:val="single"/>
        </w:rPr>
        <w:t>（供应商全称）</w:t>
      </w:r>
      <w:r>
        <w:rPr>
          <w:rFonts w:hint="eastAsia" w:ascii="仿宋_GB2312" w:hAnsi="Times New Roman" w:eastAsia="仿宋_GB2312" w:cs="Times New Roman"/>
          <w:sz w:val="32"/>
          <w:szCs w:val="32"/>
        </w:rPr>
        <w:t>的法定代表人。</w:t>
      </w:r>
    </w:p>
    <w:p>
      <w:pPr>
        <w:ind w:firstLine="640" w:firstLineChars="200"/>
        <w:rPr>
          <w:rFonts w:ascii="仿宋_GB2312" w:hAnsi="Times New Roman" w:eastAsia="仿宋_GB2312" w:cs="Times New Roman"/>
          <w:sz w:val="32"/>
          <w:szCs w:val="32"/>
        </w:rPr>
      </w:pPr>
    </w:p>
    <w:p>
      <w:pPr>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特此证明</w:t>
      </w:r>
    </w:p>
    <w:p>
      <w:pPr>
        <w:rPr>
          <w:rFonts w:ascii="Times New Roman" w:hAnsi="Times New Roman" w:eastAsia="宋体" w:cs="Times New Roman"/>
          <w:sz w:val="28"/>
          <w:szCs w:val="28"/>
        </w:rPr>
      </w:pPr>
      <w:r>
        <w:rPr>
          <w:rFonts w:ascii="Times New Roman" w:hAnsi="Times New Roman" w:eastAsia="宋体" w:cs="Times New Roman"/>
          <w:sz w:val="24"/>
          <w:szCs w:val="24"/>
        </w:rPr>
        <w:pict>
          <v:shape id="文本框 5" o:spid="_x0000_s1043" o:spt="202" type="#_x0000_t202" style="position:absolute;left:0pt;margin-left:226.9pt;margin-top:10.35pt;height:103.9pt;width:209.1pt;z-index:251660288;v-text-anchor:middle;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">
            <v:path/>
            <v:fill focussize="0,0"/>
            <v:stroke dashstyle="dash"/>
            <v:imagedata o:title=""/>
            <o:lock v:ext="edit"/>
            <v:textbox>
              <w:txbxContent>
                <w:p>
                  <w:pPr>
                    <w:jc w:val="center"/>
                    <w:rPr>
                      <w:rFonts w:ascii="仿宋_GB2312" w:hAnsi="宋体" w:eastAsia="仿宋_GB2312"/>
                      <w:sz w:val="32"/>
                      <w:szCs w:val="32"/>
                    </w:rPr>
                  </w:pPr>
                  <w:r>
                    <w:rPr>
                      <w:rFonts w:hint="eastAsia" w:ascii="仿宋_GB2312" w:hAnsi="宋体" w:eastAsia="仿宋_GB2312"/>
                      <w:sz w:val="32"/>
                      <w:szCs w:val="32"/>
                    </w:rPr>
                    <w:t>法定代表人身份证复印件</w:t>
                  </w:r>
                </w:p>
                <w:p>
                  <w:pPr>
                    <w:jc w:val="center"/>
                    <w:rPr>
                      <w:rFonts w:ascii="仿宋_GB2312" w:hAnsi="宋体" w:eastAsia="仿宋_GB2312"/>
                      <w:sz w:val="32"/>
                      <w:szCs w:val="32"/>
                    </w:rPr>
                  </w:pPr>
                  <w:r>
                    <w:rPr>
                      <w:rFonts w:hint="eastAsia" w:ascii="仿宋_GB2312" w:hAnsi="宋体" w:eastAsia="仿宋_GB2312"/>
                      <w:sz w:val="32"/>
                      <w:szCs w:val="32"/>
                    </w:rPr>
                    <w:t>（反面）</w:t>
                  </w:r>
                </w:p>
              </w:txbxContent>
            </v:textbox>
          </v:shape>
        </w:pict>
      </w:r>
      <w:r>
        <w:rPr>
          <w:rFonts w:ascii="Times New Roman" w:hAnsi="Times New Roman" w:eastAsia="宋体" w:cs="Times New Roman"/>
          <w:sz w:val="24"/>
          <w:szCs w:val="24"/>
        </w:rPr>
        <w:pict>
          <v:shape id="文本框 6" o:spid="_x0000_s1042" o:spt="202" type="#_x0000_t202" style="position:absolute;left:0pt;margin-left:2.1pt;margin-top:10.35pt;height:103.9pt;width:206.6pt;z-index:251659264;v-text-anchor:middle;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">
            <v:path/>
            <v:fill focussize="0,0"/>
            <v:stroke dashstyle="dash"/>
            <v:imagedata o:title=""/>
            <o:lock v:ext="edit"/>
            <v:textbox>
              <w:txbxContent>
                <w:p>
                  <w:pPr>
                    <w:jc w:val="center"/>
                    <w:rPr>
                      <w:rFonts w:ascii="仿宋_GB2312" w:hAnsi="宋体" w:eastAsia="仿宋_GB2312"/>
                      <w:sz w:val="32"/>
                      <w:szCs w:val="32"/>
                    </w:rPr>
                  </w:pPr>
                  <w:r>
                    <w:rPr>
                      <w:rFonts w:hint="eastAsia" w:ascii="仿宋_GB2312" w:hAnsi="宋体" w:eastAsia="仿宋_GB2312"/>
                      <w:sz w:val="32"/>
                      <w:szCs w:val="32"/>
                    </w:rPr>
                    <w:t>法定代表人身份证复印件</w:t>
                  </w:r>
                </w:p>
                <w:p>
                  <w:pPr>
                    <w:jc w:val="center"/>
                    <w:rPr>
                      <w:rFonts w:ascii="仿宋_GB2312" w:eastAsia="仿宋_GB2312"/>
                      <w:sz w:val="32"/>
                      <w:szCs w:val="32"/>
                    </w:rPr>
                  </w:pPr>
                  <w:r>
                    <w:rPr>
                      <w:rFonts w:hint="eastAsia" w:ascii="仿宋_GB2312" w:hAnsi="宋体" w:eastAsia="仿宋_GB2312"/>
                      <w:sz w:val="32"/>
                      <w:szCs w:val="32"/>
                    </w:rPr>
                    <w:t>（正面）</w:t>
                  </w:r>
                </w:p>
              </w:txbxContent>
            </v:textbox>
          </v:shape>
        </w:pict>
      </w:r>
    </w:p>
    <w:p>
      <w:pPr>
        <w:rPr>
          <w:rFonts w:ascii="Times New Roman" w:hAnsi="Times New Roman" w:eastAsia="宋体" w:cs="Times New Roman"/>
          <w:sz w:val="28"/>
          <w:szCs w:val="28"/>
        </w:rPr>
      </w:pPr>
    </w:p>
    <w:p>
      <w:pPr>
        <w:rPr>
          <w:rFonts w:ascii="Times New Roman" w:hAnsi="Times New Roman" w:eastAsia="宋体" w:cs="Times New Roman"/>
          <w:sz w:val="28"/>
          <w:szCs w:val="28"/>
        </w:rPr>
      </w:pPr>
    </w:p>
    <w:p>
      <w:pPr>
        <w:rPr>
          <w:rFonts w:ascii="Times New Roman" w:hAnsi="Times New Roman" w:eastAsia="宋体" w:cs="Times New Roman"/>
          <w:sz w:val="28"/>
          <w:szCs w:val="28"/>
        </w:rPr>
      </w:pPr>
    </w:p>
    <w:p>
      <w:pPr>
        <w:rPr>
          <w:rFonts w:ascii="Times New Roman" w:hAnsi="Times New Roman" w:eastAsia="宋体" w:cs="Times New Roman"/>
          <w:sz w:val="28"/>
          <w:szCs w:val="28"/>
        </w:rPr>
      </w:pPr>
    </w:p>
    <w:p>
      <w:pPr>
        <w:rPr>
          <w:rFonts w:ascii="Times New Roman" w:hAnsi="Times New Roman" w:eastAsia="宋体" w:cs="Times New Roman"/>
          <w:sz w:val="28"/>
          <w:szCs w:val="28"/>
        </w:rPr>
      </w:pPr>
    </w:p>
    <w:p>
      <w:pPr>
        <w:ind w:firstLine="4900" w:firstLineChars="1750"/>
        <w:rPr>
          <w:rFonts w:ascii="Times New Roman" w:hAnsi="Times New Roman" w:eastAsia="宋体" w:cs="Times New Roman"/>
          <w:sz w:val="28"/>
          <w:szCs w:val="28"/>
        </w:rPr>
      </w:pPr>
    </w:p>
    <w:p>
      <w:pPr>
        <w:rPr>
          <w:rFonts w:ascii="Times New Roman" w:hAnsi="Times New Roman" w:eastAsia="宋体" w:cs="Times New Roman"/>
          <w:kern w:val="0"/>
          <w:sz w:val="28"/>
          <w:szCs w:val="28"/>
        </w:rPr>
      </w:pPr>
    </w:p>
    <w:p>
      <w:pPr>
        <w:ind w:firstLine="5600" w:firstLineChars="1750"/>
        <w:rPr>
          <w:rFonts w:ascii="仿宋_GB2312" w:hAnsi="Times New Roman" w:eastAsia="仿宋_GB2312" w:cs="Times New Roman"/>
          <w:kern w:val="0"/>
          <w:sz w:val="32"/>
          <w:szCs w:val="32"/>
        </w:rPr>
      </w:pPr>
    </w:p>
    <w:p>
      <w:pPr>
        <w:ind w:firstLine="3840" w:firstLineChars="1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供应商全称：（盖章）</w:t>
      </w:r>
    </w:p>
    <w:p>
      <w:pPr>
        <w:ind w:firstLine="4547" w:firstLineChars="1421"/>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年  月  日</w:t>
      </w:r>
    </w:p>
    <w:p>
      <w:pPr>
        <w:rPr>
          <w:rFonts w:ascii="Times New Roman" w:hAnsi="Times New Roman" w:eastAsia="宋体" w:cs="Times New Roman"/>
          <w:kern w:val="0"/>
          <w:sz w:val="32"/>
          <w:szCs w:val="32"/>
        </w:rPr>
      </w:pPr>
    </w:p>
    <w:p>
      <w:pPr>
        <w:rPr>
          <w:rFonts w:ascii="Times New Roman" w:hAnsi="Times New Roman" w:eastAsia="宋体" w:cs="Times New Roman"/>
          <w:kern w:val="0"/>
          <w:sz w:val="24"/>
          <w:szCs w:val="24"/>
        </w:rPr>
      </w:pPr>
    </w:p>
    <w:p>
      <w:pPr>
        <w:rPr>
          <w:rFonts w:ascii="黑体" w:hAnsi="黑体" w:eastAsia="黑体" w:cs="Times New Roman"/>
          <w:kern w:val="0"/>
          <w:sz w:val="28"/>
          <w:szCs w:val="28"/>
        </w:rPr>
      </w:pPr>
    </w:p>
    <w:p>
      <w:pPr>
        <w:rPr>
          <w:rFonts w:ascii="黑体" w:hAnsi="黑体" w:eastAsia="黑体" w:cs="Times New Roman"/>
          <w:kern w:val="0"/>
          <w:sz w:val="28"/>
          <w:szCs w:val="28"/>
        </w:rPr>
      </w:pPr>
    </w:p>
    <w:p>
      <w:pPr>
        <w:rPr>
          <w:rFonts w:ascii="黑体" w:hAnsi="黑体" w:eastAsia="黑体" w:cs="Times New Roman"/>
          <w:kern w:val="0"/>
          <w:sz w:val="28"/>
          <w:szCs w:val="28"/>
        </w:rPr>
        <w:sectPr>
          <w:pgSz w:w="11906" w:h="16838"/>
          <w:pgMar w:top="1440" w:right="1440" w:bottom="1440" w:left="1440" w:header="851" w:footer="992" w:gutter="0"/>
          <w:cols w:space="720" w:num="1"/>
          <w:docGrid w:linePitch="579" w:charSpace="-1844"/>
        </w:sectPr>
      </w:pPr>
    </w:p>
    <w:p>
      <w:pPr>
        <w:rPr>
          <w:rFonts w:ascii="黑体" w:hAnsi="黑体" w:eastAsia="黑体" w:cs="Times New Roman"/>
          <w:kern w:val="0"/>
          <w:sz w:val="28"/>
          <w:szCs w:val="28"/>
        </w:rPr>
      </w:pPr>
    </w:p>
    <w:p>
      <w:pPr>
        <w:rPr>
          <w:rFonts w:ascii="黑体" w:hAnsi="黑体" w:eastAsia="黑体" w:cs="Times New Roman"/>
          <w:kern w:val="0"/>
          <w:sz w:val="32"/>
          <w:szCs w:val="32"/>
        </w:rPr>
      </w:pPr>
      <w:r>
        <w:rPr>
          <w:rFonts w:hint="eastAsia" w:ascii="黑体" w:hAnsi="黑体" w:eastAsia="黑体" w:cs="Times New Roman"/>
          <w:kern w:val="0"/>
          <w:sz w:val="32"/>
          <w:szCs w:val="32"/>
        </w:rPr>
        <w:t>附件</w:t>
      </w:r>
      <w:r>
        <w:rPr>
          <w:rFonts w:ascii="黑体" w:hAnsi="黑体" w:eastAsia="黑体" w:cs="Times New Roman"/>
          <w:kern w:val="0"/>
          <w:sz w:val="32"/>
          <w:szCs w:val="32"/>
        </w:rPr>
        <w:t>16</w:t>
      </w:r>
    </w:p>
    <w:p>
      <w:pPr>
        <w:spacing w:line="560" w:lineRule="exact"/>
        <w:jc w:val="center"/>
        <w:rPr>
          <w:rFonts w:ascii="Times New Roman" w:hAnsi="Times New Roman" w:eastAsia="方正小标宋简体" w:cs="Times New Roman"/>
          <w:bCs/>
          <w:sz w:val="44"/>
          <w:szCs w:val="44"/>
        </w:rPr>
      </w:pPr>
      <w:r>
        <w:rPr>
          <w:rFonts w:hint="eastAsia" w:ascii="Times New Roman" w:hAnsi="Times New Roman" w:eastAsia="方正小标宋简体" w:cs="Times New Roman"/>
          <w:bCs/>
          <w:sz w:val="44"/>
          <w:szCs w:val="44"/>
        </w:rPr>
        <w:t>法定代表人授权书</w:t>
      </w:r>
    </w:p>
    <w:p>
      <w:pPr>
        <w:rPr>
          <w:rFonts w:ascii="Times New Roman" w:hAnsi="Times New Roman" w:eastAsia="宋体" w:cs="Times New Roman"/>
          <w:kern w:val="0"/>
          <w:sz w:val="28"/>
          <w:szCs w:val="28"/>
        </w:rPr>
      </w:pPr>
    </w:p>
    <w:p>
      <w:pPr>
        <w:spacing w:line="520" w:lineRule="exact"/>
        <w:ind w:firstLine="640"/>
        <w:rPr>
          <w:rFonts w:ascii="仿宋_GB2312" w:hAnsi="Times New Roman" w:eastAsia="仿宋_GB2312" w:cs="Times New Roman"/>
          <w:snapToGrid w:val="0"/>
          <w:kern w:val="0"/>
          <w:sz w:val="32"/>
          <w:szCs w:val="32"/>
        </w:rPr>
      </w:pPr>
      <w:r>
        <w:rPr>
          <w:rFonts w:hint="eastAsia" w:ascii="仿宋_GB2312" w:hAnsi="仿宋" w:eastAsia="仿宋_GB2312" w:cs="Times New Roman"/>
          <w:kern w:val="0"/>
          <w:sz w:val="32"/>
          <w:szCs w:val="32"/>
        </w:rPr>
        <w:t>安徽省永丰粮食购销有限公司</w:t>
      </w:r>
      <w:r>
        <w:rPr>
          <w:rFonts w:hint="eastAsia" w:ascii="仿宋_GB2312" w:hAnsi="Times New Roman" w:eastAsia="仿宋_GB2312" w:cs="Times New Roman"/>
          <w:snapToGrid w:val="0"/>
          <w:kern w:val="0"/>
          <w:sz w:val="32"/>
          <w:szCs w:val="32"/>
        </w:rPr>
        <w:t>：</w:t>
      </w:r>
    </w:p>
    <w:p>
      <w:pPr>
        <w:ind w:firstLine="640" w:firstLineChars="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u w:val="single"/>
        </w:rPr>
        <w:t>（供应商全称）</w:t>
      </w:r>
      <w:r>
        <w:rPr>
          <w:rFonts w:hint="eastAsia" w:ascii="仿宋_GB2312" w:hAnsi="宋体" w:eastAsia="仿宋_GB2312" w:cs="Times New Roman"/>
          <w:kern w:val="0"/>
          <w:sz w:val="32"/>
          <w:szCs w:val="32"/>
        </w:rPr>
        <w:t>法定代表人</w:t>
      </w:r>
      <w:r>
        <w:rPr>
          <w:rFonts w:hint="eastAsia" w:ascii="仿宋_GB2312" w:hAnsi="宋体" w:eastAsia="仿宋_GB2312" w:cs="Times New Roman"/>
          <w:kern w:val="0"/>
          <w:sz w:val="32"/>
          <w:szCs w:val="32"/>
          <w:u w:val="single"/>
        </w:rPr>
        <w:t>（姓名、职务）</w:t>
      </w:r>
      <w:r>
        <w:rPr>
          <w:rFonts w:hint="eastAsia" w:ascii="仿宋_GB2312" w:hAnsi="宋体" w:eastAsia="仿宋_GB2312" w:cs="Times New Roman"/>
          <w:kern w:val="0"/>
          <w:sz w:val="32"/>
          <w:szCs w:val="32"/>
        </w:rPr>
        <w:t xml:space="preserve"> 授权</w:t>
      </w:r>
      <w:r>
        <w:rPr>
          <w:rFonts w:hint="eastAsia" w:ascii="仿宋_GB2312" w:hAnsi="宋体" w:eastAsia="仿宋_GB2312" w:cs="Times New Roman"/>
          <w:kern w:val="0"/>
          <w:sz w:val="32"/>
          <w:szCs w:val="32"/>
          <w:u w:val="single"/>
        </w:rPr>
        <w:t>（授权代表姓名、职务）</w:t>
      </w:r>
      <w:r>
        <w:rPr>
          <w:rFonts w:hint="eastAsia" w:ascii="仿宋_GB2312" w:hAnsi="宋体" w:eastAsia="仿宋_GB2312" w:cs="Times New Roman"/>
          <w:kern w:val="0"/>
          <w:sz w:val="32"/>
          <w:szCs w:val="32"/>
        </w:rPr>
        <w:t>为全权代表，参加贵单位组织的项目编号为</w:t>
      </w:r>
      <w:r>
        <w:rPr>
          <w:rFonts w:hint="eastAsia" w:ascii="仿宋_GB2312" w:hAnsi="宋体" w:eastAsia="仿宋_GB2312" w:cs="Times New Roman"/>
          <w:kern w:val="0"/>
          <w:sz w:val="32"/>
          <w:szCs w:val="32"/>
          <w:u w:val="single"/>
        </w:rPr>
        <w:t>（项目编号）</w:t>
      </w:r>
      <w:r>
        <w:rPr>
          <w:rFonts w:hint="eastAsia" w:ascii="仿宋_GB2312" w:hAnsi="宋体" w:eastAsia="仿宋_GB2312" w:cs="Times New Roman"/>
          <w:kern w:val="0"/>
          <w:sz w:val="32"/>
          <w:szCs w:val="32"/>
        </w:rPr>
        <w:t>的</w:t>
      </w:r>
      <w:r>
        <w:rPr>
          <w:rFonts w:hint="eastAsia" w:ascii="仿宋_GB2312" w:hAnsi="宋体" w:eastAsia="仿宋_GB2312" w:cs="Times New Roman"/>
          <w:kern w:val="0"/>
          <w:sz w:val="32"/>
          <w:szCs w:val="32"/>
          <w:u w:val="single"/>
        </w:rPr>
        <w:t>（项目名称）</w:t>
      </w:r>
      <w:r>
        <w:rPr>
          <w:rFonts w:hint="eastAsia" w:ascii="仿宋_GB2312" w:hAnsi="宋体" w:eastAsia="仿宋_GB2312" w:cs="Times New Roman"/>
          <w:kern w:val="0"/>
          <w:sz w:val="32"/>
          <w:szCs w:val="32"/>
        </w:rPr>
        <w:t>采购活动，全权处理采购活动中的一切事宜。</w:t>
      </w:r>
    </w:p>
    <w:p>
      <w:pPr>
        <w:ind w:firstLine="600"/>
        <w:rPr>
          <w:rFonts w:ascii="仿宋_GB2312" w:hAnsi="宋体" w:eastAsia="仿宋_GB2312" w:cs="Times New Roman"/>
          <w:kern w:val="0"/>
          <w:sz w:val="32"/>
          <w:szCs w:val="32"/>
        </w:rPr>
      </w:pPr>
    </w:p>
    <w:p>
      <w:pPr>
        <w:ind w:firstLine="3840" w:firstLineChars="1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供应商全称：（盖章）</w:t>
      </w:r>
    </w:p>
    <w:p>
      <w:pPr>
        <w:ind w:firstLine="3840" w:firstLineChars="1200"/>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法定代表人：（签字或盖章）</w:t>
      </w:r>
    </w:p>
    <w:p>
      <w:pPr>
        <w:ind w:firstLine="5488" w:firstLineChars="1715"/>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年月日</w:t>
      </w:r>
    </w:p>
    <w:p>
      <w:pPr>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附：</w:t>
      </w:r>
    </w:p>
    <w:p>
      <w:pPr>
        <w:ind w:firstLine="573"/>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 xml:space="preserve">授权代表姓名：              </w:t>
      </w:r>
    </w:p>
    <w:p>
      <w:pPr>
        <w:ind w:firstLine="573"/>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职    务：电话：</w:t>
      </w:r>
    </w:p>
    <w:p>
      <w:pPr>
        <w:ind w:firstLine="573"/>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传    真：邮编：</w:t>
      </w:r>
    </w:p>
    <w:p>
      <w:pPr>
        <w:ind w:firstLine="573"/>
        <w:rPr>
          <w:rFonts w:ascii="仿宋_GB2312" w:hAnsi="宋体" w:eastAsia="仿宋_GB2312" w:cs="Times New Roman"/>
          <w:kern w:val="0"/>
          <w:sz w:val="32"/>
          <w:szCs w:val="32"/>
        </w:rPr>
      </w:pPr>
      <w:r>
        <w:rPr>
          <w:rFonts w:hint="eastAsia" w:ascii="仿宋_GB2312" w:hAnsi="宋体" w:eastAsia="仿宋_GB2312" w:cs="Times New Roman"/>
          <w:kern w:val="0"/>
          <w:sz w:val="32"/>
          <w:szCs w:val="32"/>
        </w:rPr>
        <w:t>通讯地址：</w:t>
      </w:r>
    </w:p>
    <w:p>
      <w:pPr>
        <w:spacing w:line="560" w:lineRule="exact"/>
        <w:ind w:firstLine="573"/>
        <w:rPr>
          <w:rFonts w:ascii="Times New Roman" w:hAnsi="Times New Roman" w:eastAsia="宋体" w:cs="Times New Roman"/>
          <w:kern w:val="0"/>
          <w:sz w:val="24"/>
          <w:szCs w:val="24"/>
        </w:rPr>
      </w:pPr>
      <w:r>
        <w:rPr>
          <w:rFonts w:ascii="Times New Roman" w:hAnsi="Times New Roman" w:eastAsia="宋体" w:cs="Times New Roman"/>
          <w:szCs w:val="24"/>
        </w:rPr>
        <w:pict>
          <v:shape id="文本框 1" o:spid="_x0000_s1045" o:spt="202" type="#_x0000_t202" style="position:absolute;left:0pt;margin-left:228.25pt;margin-top:14.25pt;height:105.95pt;width:210.95pt;z-index:251662336;v-text-anchor:middle;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">
            <v:path/>
            <v:fill focussize="0,0"/>
            <v:stroke dashstyle="dash"/>
            <v:imagedata o:title=""/>
            <o:lock v:ext="edit"/>
            <v:textbox>
              <w:txbxContent>
                <w:p>
                  <w:pPr>
                    <w:jc w:val="center"/>
                    <w:rPr>
                      <w:rFonts w:ascii="仿宋_GB2312" w:hAnsi="宋体" w:eastAsia="仿宋_GB2312"/>
                      <w:sz w:val="32"/>
                      <w:szCs w:val="32"/>
                    </w:rPr>
                  </w:pPr>
                  <w:r>
                    <w:rPr>
                      <w:rFonts w:hint="eastAsia" w:ascii="仿宋_GB2312" w:hAnsi="宋体" w:eastAsia="仿宋_GB2312"/>
                      <w:sz w:val="32"/>
                      <w:szCs w:val="32"/>
                    </w:rPr>
                    <w:t>授权代表身份证复印件</w:t>
                  </w:r>
                </w:p>
                <w:p>
                  <w:pPr>
                    <w:jc w:val="center"/>
                    <w:rPr>
                      <w:rFonts w:ascii="仿宋_GB2312" w:hAnsi="宋体" w:eastAsia="仿宋_GB2312"/>
                      <w:sz w:val="32"/>
                      <w:szCs w:val="32"/>
                    </w:rPr>
                  </w:pPr>
                  <w:r>
                    <w:rPr>
                      <w:rFonts w:hint="eastAsia" w:ascii="仿宋_GB2312" w:hAnsi="宋体" w:eastAsia="仿宋_GB2312"/>
                      <w:sz w:val="32"/>
                      <w:szCs w:val="32"/>
                    </w:rPr>
                    <w:t>（反面）</w:t>
                  </w:r>
                </w:p>
              </w:txbxContent>
            </v:textbox>
          </v:shape>
        </w:pict>
      </w:r>
      <w:r>
        <w:rPr>
          <w:rFonts w:ascii="Times New Roman" w:hAnsi="Times New Roman" w:eastAsia="宋体" w:cs="Times New Roman"/>
          <w:szCs w:val="24"/>
        </w:rPr>
        <w:pict>
          <v:shape id="文本框 2" o:spid="_x0000_s1044" o:spt="202" type="#_x0000_t202" style="position:absolute;left:0pt;margin-left:1.4pt;margin-top:15.6pt;height:104.6pt;width:211.6pt;z-index:251661312;v-text-anchor:middle;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">
            <v:path/>
            <v:fill focussize="0,0"/>
            <v:stroke dashstyle="dash"/>
            <v:imagedata o:title=""/>
            <o:lock v:ext="edit"/>
            <v:textbox>
              <w:txbxContent>
                <w:p>
                  <w:pPr>
                    <w:jc w:val="center"/>
                    <w:rPr>
                      <w:rFonts w:ascii="仿宋_GB2312" w:hAnsi="宋体" w:eastAsia="仿宋_GB2312"/>
                      <w:sz w:val="32"/>
                      <w:szCs w:val="32"/>
                    </w:rPr>
                  </w:pPr>
                  <w:r>
                    <w:rPr>
                      <w:rFonts w:hint="eastAsia" w:ascii="仿宋_GB2312" w:hAnsi="宋体" w:eastAsia="仿宋_GB2312"/>
                      <w:sz w:val="32"/>
                      <w:szCs w:val="32"/>
                    </w:rPr>
                    <w:t>授权代表身份证复印件</w:t>
                  </w:r>
                </w:p>
                <w:p>
                  <w:pPr>
                    <w:jc w:val="center"/>
                    <w:rPr>
                      <w:rFonts w:ascii="仿宋_GB2312" w:eastAsia="仿宋_GB2312"/>
                      <w:sz w:val="32"/>
                      <w:szCs w:val="32"/>
                    </w:rPr>
                  </w:pPr>
                  <w:r>
                    <w:rPr>
                      <w:rFonts w:hint="eastAsia" w:ascii="仿宋_GB2312" w:hAnsi="宋体" w:eastAsia="仿宋_GB2312"/>
                      <w:sz w:val="32"/>
                      <w:szCs w:val="32"/>
                    </w:rPr>
                    <w:t>（正面）</w:t>
                  </w:r>
                </w:p>
              </w:txbxContent>
            </v:textbox>
          </v:shape>
        </w:pict>
      </w:r>
    </w:p>
    <w:p>
      <w:pPr>
        <w:spacing w:line="560" w:lineRule="exact"/>
        <w:ind w:firstLine="573"/>
        <w:rPr>
          <w:rFonts w:ascii="Times New Roman" w:hAnsi="Times New Roman" w:eastAsia="宋体" w:cs="Times New Roman"/>
          <w:kern w:val="0"/>
          <w:sz w:val="24"/>
          <w:szCs w:val="24"/>
        </w:rPr>
      </w:pPr>
    </w:p>
    <w:p>
      <w:pPr>
        <w:spacing w:line="560" w:lineRule="exact"/>
        <w:ind w:firstLine="573"/>
        <w:rPr>
          <w:rFonts w:ascii="Times New Roman" w:hAnsi="Times New Roman" w:eastAsia="宋体" w:cs="Times New Roman"/>
          <w:kern w:val="0"/>
          <w:sz w:val="24"/>
          <w:szCs w:val="24"/>
        </w:rPr>
      </w:pPr>
    </w:p>
    <w:p>
      <w:pPr>
        <w:spacing w:line="560" w:lineRule="exact"/>
        <w:ind w:firstLine="573"/>
        <w:rPr>
          <w:rFonts w:ascii="Times New Roman" w:hAnsi="Times New Roman" w:eastAsia="宋体" w:cs="Times New Roman"/>
          <w:kern w:val="0"/>
          <w:sz w:val="24"/>
          <w:szCs w:val="24"/>
        </w:rPr>
      </w:pPr>
    </w:p>
    <w:p>
      <w:pPr>
        <w:spacing w:line="560" w:lineRule="exact"/>
        <w:ind w:firstLine="573"/>
        <w:rPr>
          <w:rFonts w:ascii="Times New Roman" w:hAnsi="Times New Roman" w:eastAsia="宋体" w:cs="Times New Roman"/>
          <w:kern w:val="0"/>
          <w:sz w:val="24"/>
          <w:szCs w:val="24"/>
        </w:rPr>
      </w:pPr>
    </w:p>
    <w:p>
      <w:pPr>
        <w:rPr>
          <w:rFonts w:ascii="黑体" w:hAnsi="黑体" w:eastAsia="黑体" w:cs="Times New Roman"/>
          <w:kern w:val="0"/>
          <w:sz w:val="32"/>
          <w:szCs w:val="32"/>
        </w:rPr>
      </w:pPr>
    </w:p>
    <w:p>
      <w:pPr>
        <w:tabs>
          <w:tab w:val="left" w:pos="1065"/>
        </w:tabs>
        <w:rPr>
          <w:rFonts w:ascii="黑体" w:hAnsi="黑体" w:eastAsia="黑体" w:cs="Times New Roman"/>
          <w:kern w:val="0"/>
          <w:sz w:val="32"/>
          <w:szCs w:val="32"/>
        </w:rPr>
      </w:pPr>
    </w:p>
    <w:p>
      <w:pPr>
        <w:tabs>
          <w:tab w:val="left" w:pos="1065"/>
        </w:tabs>
        <w:rPr>
          <w:rFonts w:ascii="黑体" w:hAnsi="黑体" w:eastAsia="黑体" w:cs="Times New Roman"/>
          <w:sz w:val="32"/>
          <w:szCs w:val="32"/>
        </w:rPr>
        <w:sectPr>
          <w:pgSz w:w="11906" w:h="16838"/>
          <w:pgMar w:top="1440" w:right="1440" w:bottom="1440" w:left="1440" w:header="851" w:footer="992" w:gutter="0"/>
          <w:cols w:space="720" w:num="1"/>
          <w:docGrid w:linePitch="579" w:charSpace="-1844"/>
        </w:sectPr>
      </w:pPr>
      <w:r>
        <w:rPr>
          <w:rFonts w:ascii="黑体" w:hAnsi="黑体" w:eastAsia="黑体" w:cs="Times New Roman"/>
          <w:sz w:val="32"/>
          <w:szCs w:val="32"/>
        </w:rPr>
        <w:tab/>
      </w:r>
    </w:p>
    <w:p>
      <w:pPr>
        <w:rPr>
          <w:rFonts w:ascii="黑体" w:hAnsi="黑体" w:eastAsia="黑体" w:cs="Times New Roman"/>
          <w:snapToGrid w:val="0"/>
          <w:kern w:val="0"/>
          <w:sz w:val="32"/>
          <w:szCs w:val="32"/>
          <w:lang w:val="zh-CN"/>
        </w:rPr>
      </w:pPr>
      <w:r>
        <w:rPr>
          <w:rFonts w:hint="eastAsia" w:ascii="黑体" w:hAnsi="黑体" w:eastAsia="黑体" w:cs="Times New Roman"/>
          <w:kern w:val="0"/>
          <w:sz w:val="32"/>
          <w:szCs w:val="32"/>
        </w:rPr>
        <w:t>附件</w:t>
      </w:r>
      <w:r>
        <w:rPr>
          <w:rFonts w:ascii="黑体" w:hAnsi="黑体" w:eastAsia="黑体" w:cs="Times New Roman"/>
          <w:kern w:val="0"/>
          <w:sz w:val="32"/>
          <w:szCs w:val="32"/>
        </w:rPr>
        <w:t>17</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技术评审表</w:t>
      </w:r>
    </w:p>
    <w:p>
      <w:pPr>
        <w:rPr>
          <w:rFonts w:ascii="宋体" w:hAnsi="宋体" w:eastAsia="宋体" w:cs="Times New Roman"/>
          <w:kern w:val="0"/>
          <w:sz w:val="24"/>
          <w:szCs w:val="24"/>
        </w:rPr>
      </w:pPr>
      <w:r>
        <w:rPr>
          <w:rFonts w:hint="eastAsia" w:ascii="宋体" w:hAnsi="宋体" w:eastAsia="宋体" w:cs="Times New Roman"/>
          <w:kern w:val="0"/>
          <w:sz w:val="24"/>
          <w:szCs w:val="24"/>
        </w:rPr>
        <w:t xml:space="preserve">项目名称：                       项目编号：                     包号：   </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63"/>
        <w:gridCol w:w="1752"/>
        <w:gridCol w:w="3263"/>
        <w:gridCol w:w="1631"/>
        <w:gridCol w:w="18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序号</w:t>
            </w: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评审项目</w:t>
            </w: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评审内容及规则</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标准分值</w:t>
            </w: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所在页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bl>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报价方全称：（盖章）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ind w:right="924"/>
        <w:rPr>
          <w:rFonts w:ascii="Times New Roman" w:hAnsi="Times New Roman" w:eastAsia="宋体" w:cs="Times New Roman"/>
          <w:kern w:val="0"/>
          <w:sz w:val="24"/>
          <w:szCs w:val="24"/>
        </w:rPr>
        <w:sectPr>
          <w:pgSz w:w="11906" w:h="16838"/>
          <w:pgMar w:top="1440" w:right="1440" w:bottom="1440" w:left="1440" w:header="851" w:footer="992" w:gutter="0"/>
          <w:cols w:space="720" w:num="1"/>
          <w:docGrid w:linePitch="579" w:charSpace="-1844"/>
        </w:sectPr>
      </w:pPr>
    </w:p>
    <w:p>
      <w:pPr>
        <w:ind w:right="924"/>
        <w:rPr>
          <w:rFonts w:ascii="Times New Roman" w:hAnsi="Times New Roman" w:eastAsia="宋体" w:cs="Times New Roman"/>
          <w:kern w:val="0"/>
          <w:sz w:val="24"/>
          <w:szCs w:val="24"/>
        </w:rPr>
      </w:pPr>
    </w:p>
    <w:p>
      <w:pPr>
        <w:rPr>
          <w:rFonts w:ascii="黑体" w:hAnsi="黑体" w:eastAsia="黑体" w:cs="Times New Roman"/>
          <w:snapToGrid w:val="0"/>
          <w:kern w:val="0"/>
          <w:sz w:val="32"/>
          <w:szCs w:val="32"/>
          <w:lang w:val="zh-CN"/>
        </w:rPr>
      </w:pPr>
      <w:r>
        <w:rPr>
          <w:rFonts w:hint="eastAsia" w:ascii="黑体" w:hAnsi="黑体" w:eastAsia="黑体" w:cs="Times New Roman"/>
          <w:kern w:val="0"/>
          <w:sz w:val="32"/>
          <w:szCs w:val="32"/>
        </w:rPr>
        <w:t>附件</w:t>
      </w:r>
      <w:r>
        <w:rPr>
          <w:rFonts w:ascii="黑体" w:hAnsi="黑体" w:eastAsia="黑体" w:cs="Times New Roman"/>
          <w:kern w:val="0"/>
          <w:sz w:val="32"/>
          <w:szCs w:val="32"/>
        </w:rPr>
        <w:t>18</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商务评审表</w:t>
      </w:r>
    </w:p>
    <w:p>
      <w:pPr>
        <w:rPr>
          <w:rFonts w:ascii="宋体" w:hAnsi="宋体" w:eastAsia="宋体" w:cs="Times New Roman"/>
          <w:kern w:val="0"/>
          <w:sz w:val="24"/>
          <w:szCs w:val="24"/>
        </w:rPr>
      </w:pPr>
      <w:r>
        <w:rPr>
          <w:rFonts w:hint="eastAsia" w:ascii="宋体" w:hAnsi="宋体" w:eastAsia="宋体" w:cs="Times New Roman"/>
          <w:kern w:val="0"/>
          <w:sz w:val="24"/>
          <w:szCs w:val="24"/>
        </w:rPr>
        <w:t xml:space="preserve">项目名称：                       项目编号：                     包号：   </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63"/>
        <w:gridCol w:w="1752"/>
        <w:gridCol w:w="3263"/>
        <w:gridCol w:w="1631"/>
        <w:gridCol w:w="18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序号</w:t>
            </w: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评审项目</w:t>
            </w: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评审内容及规则</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标准分值</w:t>
            </w: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r>
              <w:rPr>
                <w:rFonts w:hint="eastAsia" w:ascii="Times New Roman" w:hAnsi="Times New Roman" w:eastAsia="宋体" w:cs="Times New Roman"/>
                <w:snapToGrid w:val="0"/>
                <w:kern w:val="0"/>
                <w:sz w:val="24"/>
                <w:szCs w:val="24"/>
              </w:rPr>
              <w:t>所在页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675"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311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c>
          <w:tcPr>
            <w:tcW w:w="1752" w:type="dxa"/>
            <w:tcBorders>
              <w:top w:val="single" w:color="000000" w:sz="4" w:space="0"/>
              <w:left w:val="single" w:color="000000" w:sz="4" w:space="0"/>
              <w:bottom w:val="single" w:color="000000" w:sz="4" w:space="0"/>
              <w:right w:val="single" w:color="000000" w:sz="4" w:space="0"/>
            </w:tcBorders>
            <w:vAlign w:val="center"/>
          </w:tcPr>
          <w:p>
            <w:pPr>
              <w:jc w:val="center"/>
              <w:rPr>
                <w:rFonts w:ascii="Times New Roman" w:hAnsi="Times New Roman" w:eastAsia="宋体" w:cs="Times New Roman"/>
                <w:snapToGrid w:val="0"/>
                <w:kern w:val="0"/>
                <w:sz w:val="24"/>
                <w:szCs w:val="24"/>
              </w:rPr>
            </w:pPr>
          </w:p>
        </w:tc>
      </w:tr>
    </w:tbl>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rPr>
          <w:rFonts w:ascii="Times New Roman" w:hAnsi="Times New Roman" w:eastAsia="宋体" w:cs="Times New Roman"/>
          <w:snapToGrid w:val="0"/>
          <w:kern w:val="0"/>
          <w:sz w:val="24"/>
          <w:szCs w:val="24"/>
        </w:rPr>
      </w:pPr>
    </w:p>
    <w:p>
      <w:pPr>
        <w:ind w:firstLine="1920" w:firstLineChars="6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报价方全称：（盖章）</w:t>
      </w:r>
    </w:p>
    <w:p>
      <w:pPr>
        <w:ind w:firstLine="1920" w:firstLineChars="600"/>
        <w:rPr>
          <w:rFonts w:ascii="仿宋_GB2312" w:hAnsi="宋体" w:eastAsia="仿宋_GB2312" w:cs="宋体"/>
          <w:kern w:val="0"/>
          <w:sz w:val="32"/>
          <w:szCs w:val="32"/>
        </w:rPr>
      </w:pPr>
      <w:r>
        <w:rPr>
          <w:rFonts w:hint="eastAsia" w:ascii="仿宋_GB2312" w:hAnsi="宋体" w:eastAsia="仿宋_GB2312" w:cs="宋体"/>
          <w:kern w:val="0"/>
          <w:sz w:val="32"/>
          <w:szCs w:val="32"/>
          <w:lang w:val="zh-CN"/>
        </w:rPr>
        <w:t xml:space="preserve">法定代表人（或授权代表）：（签字）  </w:t>
      </w:r>
      <w:r>
        <w:rPr>
          <w:rFonts w:hint="eastAsia" w:ascii="仿宋_GB2312" w:hAnsi="宋体" w:eastAsia="仿宋_GB2312" w:cs="宋体"/>
          <w:kern w:val="0"/>
          <w:sz w:val="32"/>
          <w:szCs w:val="32"/>
        </w:rPr>
        <w:t xml:space="preserve"> </w:t>
      </w:r>
    </w:p>
    <w:p>
      <w:pPr>
        <w:ind w:firstLine="4480" w:firstLineChars="14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年  月  日</w:t>
      </w:r>
    </w:p>
    <w:p>
      <w:pPr>
        <w:jc w:val="left"/>
        <w:sectPr>
          <w:pgSz w:w="11906" w:h="16838"/>
          <w:pgMar w:top="1440" w:right="1440" w:bottom="1440" w:left="1440" w:header="851" w:footer="992" w:gutter="0"/>
          <w:cols w:space="720" w:num="1"/>
          <w:docGrid w:linePitch="579" w:charSpace="-1844"/>
        </w:sectPr>
      </w:pPr>
    </w:p>
    <w:p>
      <w:pPr>
        <w:rPr>
          <w:rFonts w:ascii="黑体" w:hAnsi="黑体" w:eastAsia="黑体" w:cs="Times New Roman"/>
          <w:kern w:val="0"/>
          <w:sz w:val="32"/>
          <w:szCs w:val="32"/>
        </w:rPr>
      </w:pPr>
      <w:bookmarkStart w:id="29" w:name="_Toc18342"/>
      <w:bookmarkStart w:id="30" w:name="_Toc28196"/>
      <w:bookmarkStart w:id="31" w:name="_Toc19657"/>
      <w:bookmarkStart w:id="32" w:name="_Toc1096"/>
      <w:r>
        <w:rPr>
          <w:rFonts w:hint="eastAsia" w:ascii="黑体" w:hAnsi="黑体" w:eastAsia="黑体" w:cs="Times New Roman"/>
          <w:kern w:val="0"/>
          <w:sz w:val="32"/>
          <w:szCs w:val="32"/>
        </w:rPr>
        <w:t>附件</w:t>
      </w:r>
      <w:r>
        <w:rPr>
          <w:rFonts w:ascii="黑体" w:hAnsi="黑体" w:eastAsia="黑体" w:cs="Times New Roman"/>
          <w:kern w:val="0"/>
          <w:sz w:val="32"/>
          <w:szCs w:val="32"/>
        </w:rPr>
        <w:t>19</w:t>
      </w:r>
    </w:p>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Times New Roman"/>
          <w:kern w:val="0"/>
          <w:sz w:val="44"/>
          <w:szCs w:val="44"/>
        </w:rPr>
        <w:t>其他资料</w:t>
      </w:r>
      <w:bookmarkEnd w:id="29"/>
      <w:bookmarkEnd w:id="30"/>
      <w:bookmarkEnd w:id="31"/>
      <w:bookmarkEnd w:id="32"/>
    </w:p>
    <w:p>
      <w:pPr>
        <w:spacing w:line="360" w:lineRule="auto"/>
        <w:rPr>
          <w:rFonts w:ascii="宋体" w:hAnsi="宋体" w:cs="宋体"/>
          <w:sz w:val="24"/>
        </w:rPr>
      </w:pPr>
      <w:r>
        <w:rPr>
          <w:rFonts w:hint="eastAsia" w:ascii="宋体" w:hAnsi="宋体" w:cs="宋体"/>
          <w:sz w:val="24"/>
        </w:rPr>
        <w:t>供应商认为需要的，而上述没有列举的其它材料</w:t>
      </w:r>
    </w:p>
    <w:p>
      <w:pPr>
        <w:ind w:left="1260" w:leftChars="600"/>
      </w:pPr>
    </w:p>
    <w:sectPr>
      <w:pgSz w:w="11906" w:h="16838"/>
      <w:pgMar w:top="1440" w:right="1440" w:bottom="1440" w:left="1440" w:header="851" w:footer="992" w:gutter="0"/>
      <w:cols w:space="720" w:num="1"/>
      <w:docGrid w:linePitch="579" w:charSpace="-18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script"/>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SimSun-ExtB">
    <w:panose1 w:val="02010609060101010101"/>
    <w:charset w:val="86"/>
    <w:family w:val="modern"/>
    <w:pitch w:val="default"/>
    <w:sig w:usb0="00000001" w:usb1="02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方正大标宋简体">
    <w:altName w:val="微软雅黑"/>
    <w:panose1 w:val="00000000000000000000"/>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fldChar w:fldCharType="begin"/>
    </w:r>
    <w:r>
      <w:instrText xml:space="preserve">PAGE   \* MERGEFORMAT</w:instrText>
    </w:r>
    <w:r>
      <w:fldChar w:fldCharType="separate"/>
    </w:r>
    <w:r>
      <w:rPr>
        <w:lang w:val="zh-CN"/>
      </w:rPr>
      <w:t>15</w:t>
    </w:r>
    <w:r>
      <w:rPr>
        <w:lang w:val="zh-CN"/>
      </w:rPr>
      <w:fldChar w:fldCharType="end"/>
    </w: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pPr>
    <w:r>
      <w:rPr>
        <w:rFonts w:hint="eastAsia"/>
      </w:rPr>
      <w:t>安徽省永丰粮食购销有限公司2.5万吨粮食仓储设施项目环流熏蒸、低温空调设备采购及安装工程 竞争性谈判文件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pPr>
    <w:r>
      <w:rPr>
        <w:rFonts w:hint="eastAsia"/>
      </w:rPr>
      <w:t>安徽省永丰粮食购销有限公司2.5万吨粮食仓储设施项目环流熏蒸、低温空调设备采购及安装工程竞争性谈判文件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pPr>
    <w:r>
      <w:rPr>
        <w:rFonts w:hint="eastAsia"/>
      </w:rPr>
      <w:t>安徽省永丰粮食购销有限公司2.5万吨粮食仓储设施项目环流熏蒸、低温空调设备采购及安装工程竞争性谈判文件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pPr>
    <w:r>
      <w:rPr>
        <w:rFonts w:hint="eastAsia"/>
      </w:rPr>
      <w:t>安徽省永丰粮食购销有限公司2.5万吨粮食仓储设施项目环流熏蒸、低温空调设备采购及安装工程竞争性谈判文件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pPr>
    <w:r>
      <w:rPr>
        <w:rFonts w:hint="eastAsia"/>
      </w:rPr>
      <w:t>安徽省永丰粮食购销有限公司2.5万吨粮食仓储设施项目环流熏蒸、低温空调设备采购及安装工程竞争性谈判文件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both"/>
    </w:pPr>
    <w:r>
      <w:rPr>
        <w:rFonts w:hint="eastAsia"/>
      </w:rPr>
      <w:t>安徽省永丰粮食购销有限公司2.5万吨粮食仓储设施项目环流熏蒸、低温空调设备采购及安装工程竞争性谈判文件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singleLevel"/>
    <w:tmpl w:val="00000009"/>
    <w:lvl w:ilvl="0" w:tentative="0">
      <w:start w:val="1"/>
      <w:numFmt w:val="decimal"/>
      <w:suff w:val="nothing"/>
      <w:lvlText w:val="%1、"/>
      <w:lvlJc w:val="left"/>
    </w:lvl>
  </w:abstractNum>
  <w:abstractNum w:abstractNumId="1">
    <w:nsid w:val="2CE20809"/>
    <w:multiLevelType w:val="singleLevel"/>
    <w:tmpl w:val="2CE20809"/>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20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F19EE"/>
    <w:rsid w:val="000013A1"/>
    <w:rsid w:val="0000772C"/>
    <w:rsid w:val="00013DAB"/>
    <w:rsid w:val="0001562D"/>
    <w:rsid w:val="0001592E"/>
    <w:rsid w:val="00022BE2"/>
    <w:rsid w:val="00032C43"/>
    <w:rsid w:val="00043F62"/>
    <w:rsid w:val="00044A20"/>
    <w:rsid w:val="00081FC4"/>
    <w:rsid w:val="00085564"/>
    <w:rsid w:val="000875F1"/>
    <w:rsid w:val="000879CB"/>
    <w:rsid w:val="00094D66"/>
    <w:rsid w:val="00097016"/>
    <w:rsid w:val="000A47EE"/>
    <w:rsid w:val="000B0A52"/>
    <w:rsid w:val="000C59E1"/>
    <w:rsid w:val="000D6786"/>
    <w:rsid w:val="000E203F"/>
    <w:rsid w:val="000E2319"/>
    <w:rsid w:val="000F19EE"/>
    <w:rsid w:val="0011792C"/>
    <w:rsid w:val="001179D2"/>
    <w:rsid w:val="001325E9"/>
    <w:rsid w:val="00134E1B"/>
    <w:rsid w:val="00137A46"/>
    <w:rsid w:val="001418A1"/>
    <w:rsid w:val="00141E85"/>
    <w:rsid w:val="00154A37"/>
    <w:rsid w:val="00156746"/>
    <w:rsid w:val="0016323B"/>
    <w:rsid w:val="00165391"/>
    <w:rsid w:val="00170A88"/>
    <w:rsid w:val="001735BB"/>
    <w:rsid w:val="0018216E"/>
    <w:rsid w:val="00187DDD"/>
    <w:rsid w:val="00191A33"/>
    <w:rsid w:val="00191B51"/>
    <w:rsid w:val="00195B61"/>
    <w:rsid w:val="001A3D7B"/>
    <w:rsid w:val="001A78EF"/>
    <w:rsid w:val="001B0CD3"/>
    <w:rsid w:val="001B77E3"/>
    <w:rsid w:val="001C4D5D"/>
    <w:rsid w:val="001D310E"/>
    <w:rsid w:val="001D314F"/>
    <w:rsid w:val="001D7C3B"/>
    <w:rsid w:val="001E193A"/>
    <w:rsid w:val="001E5627"/>
    <w:rsid w:val="001F11B1"/>
    <w:rsid w:val="001F4B8E"/>
    <w:rsid w:val="001F7E01"/>
    <w:rsid w:val="00210BBC"/>
    <w:rsid w:val="00214820"/>
    <w:rsid w:val="00223757"/>
    <w:rsid w:val="00227B0A"/>
    <w:rsid w:val="002403C9"/>
    <w:rsid w:val="002579DE"/>
    <w:rsid w:val="00262863"/>
    <w:rsid w:val="0026577D"/>
    <w:rsid w:val="00276E8D"/>
    <w:rsid w:val="00281563"/>
    <w:rsid w:val="00285A56"/>
    <w:rsid w:val="00285E86"/>
    <w:rsid w:val="00294848"/>
    <w:rsid w:val="00296850"/>
    <w:rsid w:val="002A3AE0"/>
    <w:rsid w:val="002A3C01"/>
    <w:rsid w:val="002A4C33"/>
    <w:rsid w:val="002A5BDA"/>
    <w:rsid w:val="002B0A3B"/>
    <w:rsid w:val="002B202E"/>
    <w:rsid w:val="002B38DD"/>
    <w:rsid w:val="002B475D"/>
    <w:rsid w:val="002B4C47"/>
    <w:rsid w:val="002B6049"/>
    <w:rsid w:val="002C0F66"/>
    <w:rsid w:val="002C413D"/>
    <w:rsid w:val="002C6A11"/>
    <w:rsid w:val="002D331A"/>
    <w:rsid w:val="002D6DE1"/>
    <w:rsid w:val="002D7C2B"/>
    <w:rsid w:val="002E0315"/>
    <w:rsid w:val="002E0A0C"/>
    <w:rsid w:val="002E2C6C"/>
    <w:rsid w:val="002E3D9F"/>
    <w:rsid w:val="002F1927"/>
    <w:rsid w:val="003027C7"/>
    <w:rsid w:val="00303F60"/>
    <w:rsid w:val="00313C1B"/>
    <w:rsid w:val="00326902"/>
    <w:rsid w:val="00342A28"/>
    <w:rsid w:val="003518DC"/>
    <w:rsid w:val="00353505"/>
    <w:rsid w:val="00356E0C"/>
    <w:rsid w:val="00357F2B"/>
    <w:rsid w:val="003704F3"/>
    <w:rsid w:val="003838ED"/>
    <w:rsid w:val="003839B9"/>
    <w:rsid w:val="00384C3A"/>
    <w:rsid w:val="00385186"/>
    <w:rsid w:val="0039193D"/>
    <w:rsid w:val="00392277"/>
    <w:rsid w:val="003923F1"/>
    <w:rsid w:val="0039751D"/>
    <w:rsid w:val="00397C0C"/>
    <w:rsid w:val="003A7F4B"/>
    <w:rsid w:val="003B22DE"/>
    <w:rsid w:val="003C19BC"/>
    <w:rsid w:val="003C4DF0"/>
    <w:rsid w:val="003D4582"/>
    <w:rsid w:val="003E1070"/>
    <w:rsid w:val="003F4981"/>
    <w:rsid w:val="00406BC5"/>
    <w:rsid w:val="0041173E"/>
    <w:rsid w:val="0041496A"/>
    <w:rsid w:val="0042322C"/>
    <w:rsid w:val="00427CD5"/>
    <w:rsid w:val="00430B87"/>
    <w:rsid w:val="004314EA"/>
    <w:rsid w:val="00434CF5"/>
    <w:rsid w:val="004350C6"/>
    <w:rsid w:val="00441D08"/>
    <w:rsid w:val="00443086"/>
    <w:rsid w:val="00443A1D"/>
    <w:rsid w:val="00446ECA"/>
    <w:rsid w:val="00452C52"/>
    <w:rsid w:val="004535D9"/>
    <w:rsid w:val="00453A72"/>
    <w:rsid w:val="00455BD3"/>
    <w:rsid w:val="0045635E"/>
    <w:rsid w:val="004569F6"/>
    <w:rsid w:val="00456B46"/>
    <w:rsid w:val="0046063F"/>
    <w:rsid w:val="00463F09"/>
    <w:rsid w:val="00464557"/>
    <w:rsid w:val="004821BE"/>
    <w:rsid w:val="00490B39"/>
    <w:rsid w:val="00490B47"/>
    <w:rsid w:val="004A51A4"/>
    <w:rsid w:val="004B347B"/>
    <w:rsid w:val="004C07F3"/>
    <w:rsid w:val="004C4263"/>
    <w:rsid w:val="004D09D9"/>
    <w:rsid w:val="004E18EC"/>
    <w:rsid w:val="004E3D4E"/>
    <w:rsid w:val="004E7847"/>
    <w:rsid w:val="00501BD3"/>
    <w:rsid w:val="00506678"/>
    <w:rsid w:val="0051111B"/>
    <w:rsid w:val="00513C26"/>
    <w:rsid w:val="00517248"/>
    <w:rsid w:val="00517D5E"/>
    <w:rsid w:val="0052447C"/>
    <w:rsid w:val="0052653F"/>
    <w:rsid w:val="0052775B"/>
    <w:rsid w:val="0053753C"/>
    <w:rsid w:val="00543E84"/>
    <w:rsid w:val="005473B4"/>
    <w:rsid w:val="005518D0"/>
    <w:rsid w:val="005630D4"/>
    <w:rsid w:val="00567736"/>
    <w:rsid w:val="00581700"/>
    <w:rsid w:val="00590ADB"/>
    <w:rsid w:val="005A0CE8"/>
    <w:rsid w:val="005A3BA1"/>
    <w:rsid w:val="005A4B8A"/>
    <w:rsid w:val="005B469D"/>
    <w:rsid w:val="005B623E"/>
    <w:rsid w:val="005C18D1"/>
    <w:rsid w:val="005C2652"/>
    <w:rsid w:val="005D4311"/>
    <w:rsid w:val="005D76ED"/>
    <w:rsid w:val="005F495E"/>
    <w:rsid w:val="005F4A22"/>
    <w:rsid w:val="00617C4F"/>
    <w:rsid w:val="006244C7"/>
    <w:rsid w:val="00625711"/>
    <w:rsid w:val="00627EB1"/>
    <w:rsid w:val="00645181"/>
    <w:rsid w:val="00647C90"/>
    <w:rsid w:val="006625AE"/>
    <w:rsid w:val="0066452A"/>
    <w:rsid w:val="0066462B"/>
    <w:rsid w:val="00670CE3"/>
    <w:rsid w:val="00677585"/>
    <w:rsid w:val="0069676E"/>
    <w:rsid w:val="0069717F"/>
    <w:rsid w:val="006979A0"/>
    <w:rsid w:val="006A7511"/>
    <w:rsid w:val="006C1CF4"/>
    <w:rsid w:val="006C2EF5"/>
    <w:rsid w:val="006D7574"/>
    <w:rsid w:val="006F209A"/>
    <w:rsid w:val="006F600F"/>
    <w:rsid w:val="007071CB"/>
    <w:rsid w:val="00724CD5"/>
    <w:rsid w:val="00724D43"/>
    <w:rsid w:val="007264A9"/>
    <w:rsid w:val="007302D1"/>
    <w:rsid w:val="007412A7"/>
    <w:rsid w:val="00746EE6"/>
    <w:rsid w:val="00757F04"/>
    <w:rsid w:val="0077103A"/>
    <w:rsid w:val="00772B5D"/>
    <w:rsid w:val="0078056D"/>
    <w:rsid w:val="00781E79"/>
    <w:rsid w:val="0078344A"/>
    <w:rsid w:val="007876EF"/>
    <w:rsid w:val="0079183F"/>
    <w:rsid w:val="00794DFB"/>
    <w:rsid w:val="007A652E"/>
    <w:rsid w:val="007B376E"/>
    <w:rsid w:val="007B6846"/>
    <w:rsid w:val="007C28FA"/>
    <w:rsid w:val="007E05D4"/>
    <w:rsid w:val="007E67FA"/>
    <w:rsid w:val="008067F4"/>
    <w:rsid w:val="00810E36"/>
    <w:rsid w:val="00813A34"/>
    <w:rsid w:val="00820413"/>
    <w:rsid w:val="00821E35"/>
    <w:rsid w:val="00822CCE"/>
    <w:rsid w:val="00832FFC"/>
    <w:rsid w:val="00833ECB"/>
    <w:rsid w:val="00835412"/>
    <w:rsid w:val="0083659D"/>
    <w:rsid w:val="00846527"/>
    <w:rsid w:val="008501EC"/>
    <w:rsid w:val="0085353A"/>
    <w:rsid w:val="008557A0"/>
    <w:rsid w:val="008642CB"/>
    <w:rsid w:val="00886D83"/>
    <w:rsid w:val="008879B2"/>
    <w:rsid w:val="00892407"/>
    <w:rsid w:val="00895761"/>
    <w:rsid w:val="00895DF1"/>
    <w:rsid w:val="008974BC"/>
    <w:rsid w:val="008A0E95"/>
    <w:rsid w:val="008A5296"/>
    <w:rsid w:val="008A59E6"/>
    <w:rsid w:val="008A6121"/>
    <w:rsid w:val="008B52B9"/>
    <w:rsid w:val="008B5D3A"/>
    <w:rsid w:val="008C26B8"/>
    <w:rsid w:val="008C2B49"/>
    <w:rsid w:val="008D2301"/>
    <w:rsid w:val="008D6B7D"/>
    <w:rsid w:val="008D6B92"/>
    <w:rsid w:val="008E077C"/>
    <w:rsid w:val="008E13AF"/>
    <w:rsid w:val="008E43CB"/>
    <w:rsid w:val="008F71FD"/>
    <w:rsid w:val="008F7856"/>
    <w:rsid w:val="0090172E"/>
    <w:rsid w:val="009065F2"/>
    <w:rsid w:val="00911E9A"/>
    <w:rsid w:val="00915F7B"/>
    <w:rsid w:val="009229DD"/>
    <w:rsid w:val="009255F0"/>
    <w:rsid w:val="00927001"/>
    <w:rsid w:val="0092784F"/>
    <w:rsid w:val="00932621"/>
    <w:rsid w:val="00934050"/>
    <w:rsid w:val="00940497"/>
    <w:rsid w:val="009406E1"/>
    <w:rsid w:val="009478E9"/>
    <w:rsid w:val="009554D8"/>
    <w:rsid w:val="0095613E"/>
    <w:rsid w:val="00956719"/>
    <w:rsid w:val="00961D48"/>
    <w:rsid w:val="00962E40"/>
    <w:rsid w:val="00977E68"/>
    <w:rsid w:val="00991585"/>
    <w:rsid w:val="009A1A23"/>
    <w:rsid w:val="009A7089"/>
    <w:rsid w:val="009B02ED"/>
    <w:rsid w:val="009B0B06"/>
    <w:rsid w:val="009B6C69"/>
    <w:rsid w:val="009C4644"/>
    <w:rsid w:val="009D025E"/>
    <w:rsid w:val="009E03DE"/>
    <w:rsid w:val="009F315B"/>
    <w:rsid w:val="009F4D64"/>
    <w:rsid w:val="009F70DD"/>
    <w:rsid w:val="00A041C9"/>
    <w:rsid w:val="00A108C3"/>
    <w:rsid w:val="00A12031"/>
    <w:rsid w:val="00A1300A"/>
    <w:rsid w:val="00A15AF7"/>
    <w:rsid w:val="00A1643F"/>
    <w:rsid w:val="00A37843"/>
    <w:rsid w:val="00A416F4"/>
    <w:rsid w:val="00A502B9"/>
    <w:rsid w:val="00A522F8"/>
    <w:rsid w:val="00A533C6"/>
    <w:rsid w:val="00A56825"/>
    <w:rsid w:val="00A56B19"/>
    <w:rsid w:val="00A577E5"/>
    <w:rsid w:val="00A61B82"/>
    <w:rsid w:val="00A70224"/>
    <w:rsid w:val="00A73616"/>
    <w:rsid w:val="00A7594D"/>
    <w:rsid w:val="00A91C3F"/>
    <w:rsid w:val="00A94AB9"/>
    <w:rsid w:val="00A960ED"/>
    <w:rsid w:val="00A97666"/>
    <w:rsid w:val="00AA24D0"/>
    <w:rsid w:val="00AA43E5"/>
    <w:rsid w:val="00AB3726"/>
    <w:rsid w:val="00AB4869"/>
    <w:rsid w:val="00AC1106"/>
    <w:rsid w:val="00AE024F"/>
    <w:rsid w:val="00AE3A51"/>
    <w:rsid w:val="00AE4417"/>
    <w:rsid w:val="00AE58E8"/>
    <w:rsid w:val="00AF1771"/>
    <w:rsid w:val="00B00DAF"/>
    <w:rsid w:val="00B05091"/>
    <w:rsid w:val="00B07ACA"/>
    <w:rsid w:val="00B10AA2"/>
    <w:rsid w:val="00B14E99"/>
    <w:rsid w:val="00B24395"/>
    <w:rsid w:val="00B2575B"/>
    <w:rsid w:val="00B47C3C"/>
    <w:rsid w:val="00B57556"/>
    <w:rsid w:val="00B63207"/>
    <w:rsid w:val="00B74539"/>
    <w:rsid w:val="00B81214"/>
    <w:rsid w:val="00B91F08"/>
    <w:rsid w:val="00BA3787"/>
    <w:rsid w:val="00BB380A"/>
    <w:rsid w:val="00BB393D"/>
    <w:rsid w:val="00BC21AC"/>
    <w:rsid w:val="00BC2887"/>
    <w:rsid w:val="00BC2B68"/>
    <w:rsid w:val="00BC5FA3"/>
    <w:rsid w:val="00BD52D5"/>
    <w:rsid w:val="00BE4874"/>
    <w:rsid w:val="00BE4D46"/>
    <w:rsid w:val="00BF1317"/>
    <w:rsid w:val="00BF17D9"/>
    <w:rsid w:val="00C0287F"/>
    <w:rsid w:val="00C10326"/>
    <w:rsid w:val="00C10F69"/>
    <w:rsid w:val="00C116BF"/>
    <w:rsid w:val="00C17C0C"/>
    <w:rsid w:val="00C23FCC"/>
    <w:rsid w:val="00C25DED"/>
    <w:rsid w:val="00C3022B"/>
    <w:rsid w:val="00C40090"/>
    <w:rsid w:val="00C475A2"/>
    <w:rsid w:val="00C53CA6"/>
    <w:rsid w:val="00C5456B"/>
    <w:rsid w:val="00C7014A"/>
    <w:rsid w:val="00C73DF2"/>
    <w:rsid w:val="00C840DC"/>
    <w:rsid w:val="00C84501"/>
    <w:rsid w:val="00C91F60"/>
    <w:rsid w:val="00C930A6"/>
    <w:rsid w:val="00C95444"/>
    <w:rsid w:val="00CA3412"/>
    <w:rsid w:val="00CA4F44"/>
    <w:rsid w:val="00CB2ECF"/>
    <w:rsid w:val="00CB66F3"/>
    <w:rsid w:val="00CC210F"/>
    <w:rsid w:val="00CC5AA8"/>
    <w:rsid w:val="00CD3A99"/>
    <w:rsid w:val="00CD46E0"/>
    <w:rsid w:val="00CD575E"/>
    <w:rsid w:val="00CD588F"/>
    <w:rsid w:val="00CE298B"/>
    <w:rsid w:val="00CF720A"/>
    <w:rsid w:val="00D100A2"/>
    <w:rsid w:val="00D10DF2"/>
    <w:rsid w:val="00D16290"/>
    <w:rsid w:val="00D17CB6"/>
    <w:rsid w:val="00D26150"/>
    <w:rsid w:val="00D375A0"/>
    <w:rsid w:val="00D3788B"/>
    <w:rsid w:val="00D4307E"/>
    <w:rsid w:val="00D51588"/>
    <w:rsid w:val="00D540A7"/>
    <w:rsid w:val="00D600C6"/>
    <w:rsid w:val="00D6206D"/>
    <w:rsid w:val="00D74697"/>
    <w:rsid w:val="00D75EF5"/>
    <w:rsid w:val="00D91D7D"/>
    <w:rsid w:val="00D91FBB"/>
    <w:rsid w:val="00DB1302"/>
    <w:rsid w:val="00DC0D64"/>
    <w:rsid w:val="00DC6936"/>
    <w:rsid w:val="00DD0BE5"/>
    <w:rsid w:val="00DE45D1"/>
    <w:rsid w:val="00DF28D9"/>
    <w:rsid w:val="00DF3DFD"/>
    <w:rsid w:val="00DF6112"/>
    <w:rsid w:val="00E02088"/>
    <w:rsid w:val="00E106FC"/>
    <w:rsid w:val="00E14E70"/>
    <w:rsid w:val="00E31AB5"/>
    <w:rsid w:val="00E325A2"/>
    <w:rsid w:val="00E3632A"/>
    <w:rsid w:val="00E506E8"/>
    <w:rsid w:val="00E50B6E"/>
    <w:rsid w:val="00E52986"/>
    <w:rsid w:val="00E763C3"/>
    <w:rsid w:val="00E76C30"/>
    <w:rsid w:val="00E8463C"/>
    <w:rsid w:val="00E84B8D"/>
    <w:rsid w:val="00E87E1A"/>
    <w:rsid w:val="00E9244B"/>
    <w:rsid w:val="00E94EFA"/>
    <w:rsid w:val="00EB77AB"/>
    <w:rsid w:val="00EC4B43"/>
    <w:rsid w:val="00ED4E53"/>
    <w:rsid w:val="00EE23DA"/>
    <w:rsid w:val="00EE4595"/>
    <w:rsid w:val="00F058C5"/>
    <w:rsid w:val="00F06452"/>
    <w:rsid w:val="00F10C02"/>
    <w:rsid w:val="00F16E32"/>
    <w:rsid w:val="00F2731B"/>
    <w:rsid w:val="00F34D85"/>
    <w:rsid w:val="00F354F5"/>
    <w:rsid w:val="00F42FA5"/>
    <w:rsid w:val="00F438A9"/>
    <w:rsid w:val="00F43E7D"/>
    <w:rsid w:val="00F447BE"/>
    <w:rsid w:val="00F473B9"/>
    <w:rsid w:val="00F63D69"/>
    <w:rsid w:val="00F6633E"/>
    <w:rsid w:val="00F66CCE"/>
    <w:rsid w:val="00F66FE1"/>
    <w:rsid w:val="00F73588"/>
    <w:rsid w:val="00F76262"/>
    <w:rsid w:val="00F7755E"/>
    <w:rsid w:val="00F84A70"/>
    <w:rsid w:val="00F90F8B"/>
    <w:rsid w:val="00F95129"/>
    <w:rsid w:val="00FA2254"/>
    <w:rsid w:val="00FA2A39"/>
    <w:rsid w:val="00FA4E4F"/>
    <w:rsid w:val="00FB0C1D"/>
    <w:rsid w:val="00FC182B"/>
    <w:rsid w:val="00FC33D8"/>
    <w:rsid w:val="00FD6E4E"/>
    <w:rsid w:val="00FE6433"/>
    <w:rsid w:val="00FF119D"/>
    <w:rsid w:val="00FF5639"/>
    <w:rsid w:val="00FF67C6"/>
    <w:rsid w:val="0252011E"/>
    <w:rsid w:val="033865D6"/>
    <w:rsid w:val="058A6B81"/>
    <w:rsid w:val="06D61755"/>
    <w:rsid w:val="06DF00E4"/>
    <w:rsid w:val="079E1E85"/>
    <w:rsid w:val="07E4265B"/>
    <w:rsid w:val="096E7B3F"/>
    <w:rsid w:val="099E7C1E"/>
    <w:rsid w:val="0AAD548D"/>
    <w:rsid w:val="0B5B5ACC"/>
    <w:rsid w:val="0B86073C"/>
    <w:rsid w:val="0CFC6EB8"/>
    <w:rsid w:val="0EBA54D8"/>
    <w:rsid w:val="0EBC472A"/>
    <w:rsid w:val="0EEB1B90"/>
    <w:rsid w:val="10940172"/>
    <w:rsid w:val="10A67934"/>
    <w:rsid w:val="12950C78"/>
    <w:rsid w:val="195233D8"/>
    <w:rsid w:val="1AFB79B8"/>
    <w:rsid w:val="1D1451D0"/>
    <w:rsid w:val="1D48147B"/>
    <w:rsid w:val="1F337530"/>
    <w:rsid w:val="217042EE"/>
    <w:rsid w:val="2945566B"/>
    <w:rsid w:val="29CE0718"/>
    <w:rsid w:val="2BB3665E"/>
    <w:rsid w:val="2BD542BC"/>
    <w:rsid w:val="2CB21B1C"/>
    <w:rsid w:val="2DAC31D6"/>
    <w:rsid w:val="2F065768"/>
    <w:rsid w:val="2FA33B86"/>
    <w:rsid w:val="30475DCA"/>
    <w:rsid w:val="30D8379C"/>
    <w:rsid w:val="30E713C4"/>
    <w:rsid w:val="30FD2764"/>
    <w:rsid w:val="3513659F"/>
    <w:rsid w:val="378E0AB1"/>
    <w:rsid w:val="38A14F94"/>
    <w:rsid w:val="38C56C62"/>
    <w:rsid w:val="38F63F72"/>
    <w:rsid w:val="3B3150ED"/>
    <w:rsid w:val="3B624275"/>
    <w:rsid w:val="3CCC6CDE"/>
    <w:rsid w:val="3D964B0C"/>
    <w:rsid w:val="3E860AB3"/>
    <w:rsid w:val="3E8A7378"/>
    <w:rsid w:val="3F0F1DB7"/>
    <w:rsid w:val="418F6A35"/>
    <w:rsid w:val="425D16EB"/>
    <w:rsid w:val="4752637F"/>
    <w:rsid w:val="4A752F88"/>
    <w:rsid w:val="4A90776B"/>
    <w:rsid w:val="4C755D4F"/>
    <w:rsid w:val="4D6322E4"/>
    <w:rsid w:val="4DCD1E49"/>
    <w:rsid w:val="52BA5404"/>
    <w:rsid w:val="52E64627"/>
    <w:rsid w:val="53451569"/>
    <w:rsid w:val="552C38C6"/>
    <w:rsid w:val="570474B2"/>
    <w:rsid w:val="5787774B"/>
    <w:rsid w:val="58142926"/>
    <w:rsid w:val="5B196203"/>
    <w:rsid w:val="61237357"/>
    <w:rsid w:val="65E2194E"/>
    <w:rsid w:val="66317E5A"/>
    <w:rsid w:val="6AD63D43"/>
    <w:rsid w:val="6C2B47D0"/>
    <w:rsid w:val="72F21466"/>
    <w:rsid w:val="76BD5205"/>
    <w:rsid w:val="76D43582"/>
    <w:rsid w:val="774154D9"/>
    <w:rsid w:val="77514610"/>
    <w:rsid w:val="7821643B"/>
    <w:rsid w:val="7A022BF2"/>
    <w:rsid w:val="7A2B1F69"/>
    <w:rsid w:val="7B9C4DB2"/>
    <w:rsid w:val="7BD274CD"/>
    <w:rsid w:val="7C4E5657"/>
    <w:rsid w:val="7C9312A1"/>
    <w:rsid w:val="7F89089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5"/>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4">
    <w:name w:val="heading 2"/>
    <w:basedOn w:val="1"/>
    <w:next w:val="5"/>
    <w:link w:val="26"/>
    <w:qFormat/>
    <w:uiPriority w:val="0"/>
    <w:pPr>
      <w:keepNext/>
      <w:keepLines/>
      <w:widowControl/>
      <w:spacing w:before="260" w:after="260" w:line="416" w:lineRule="auto"/>
      <w:jc w:val="left"/>
      <w:outlineLvl w:val="1"/>
    </w:pPr>
    <w:rPr>
      <w:rFonts w:ascii="Arial" w:hAnsi="Arial" w:eastAsia="黑体" w:cs="Times New Roman"/>
      <w:b/>
      <w:kern w:val="0"/>
      <w:sz w:val="32"/>
      <w:szCs w:val="20"/>
    </w:rPr>
  </w:style>
  <w:style w:type="character" w:default="1" w:styleId="21">
    <w:name w:val="Default Paragraph Font"/>
    <w:semiHidden/>
    <w:unhideWhenUsed/>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index 4"/>
    <w:basedOn w:val="1"/>
    <w:next w:val="1"/>
    <w:qFormat/>
    <w:uiPriority w:val="0"/>
    <w:pPr>
      <w:ind w:left="600" w:leftChars="600"/>
    </w:pPr>
    <w:rPr>
      <w:szCs w:val="24"/>
    </w:rPr>
  </w:style>
  <w:style w:type="paragraph" w:styleId="5">
    <w:name w:val="Normal Indent"/>
    <w:basedOn w:val="1"/>
    <w:qFormat/>
    <w:uiPriority w:val="0"/>
    <w:pPr>
      <w:ind w:firstLine="420" w:firstLineChars="200"/>
    </w:pPr>
    <w:rPr>
      <w:rFonts w:ascii="Times New Roman" w:hAnsi="Times New Roman" w:eastAsia="宋体" w:cs="Times New Roman"/>
      <w:kern w:val="0"/>
      <w:sz w:val="24"/>
      <w:szCs w:val="24"/>
    </w:rPr>
  </w:style>
  <w:style w:type="paragraph" w:styleId="6">
    <w:name w:val="Document Map"/>
    <w:basedOn w:val="1"/>
    <w:link w:val="37"/>
    <w:semiHidden/>
    <w:qFormat/>
    <w:uiPriority w:val="0"/>
    <w:pPr>
      <w:shd w:val="clear" w:color="auto" w:fill="000080"/>
    </w:pPr>
    <w:rPr>
      <w:rFonts w:ascii="Times New Roman" w:hAnsi="Times New Roman" w:eastAsia="宋体" w:cs="Times New Roman"/>
      <w:kern w:val="0"/>
      <w:sz w:val="24"/>
      <w:szCs w:val="24"/>
    </w:rPr>
  </w:style>
  <w:style w:type="paragraph" w:styleId="7">
    <w:name w:val="annotation text"/>
    <w:basedOn w:val="1"/>
    <w:unhideWhenUsed/>
    <w:qFormat/>
    <w:uiPriority w:val="0"/>
    <w:pPr>
      <w:jc w:val="left"/>
    </w:pPr>
  </w:style>
  <w:style w:type="paragraph" w:styleId="8">
    <w:name w:val="Body Text"/>
    <w:basedOn w:val="1"/>
    <w:link w:val="32"/>
    <w:qFormat/>
    <w:uiPriority w:val="0"/>
    <w:rPr>
      <w:rFonts w:ascii="Times New Roman" w:hAnsi="Times New Roman" w:eastAsia="宋体" w:cs="Times New Roman"/>
      <w:kern w:val="0"/>
      <w:szCs w:val="24"/>
    </w:rPr>
  </w:style>
  <w:style w:type="paragraph" w:styleId="9">
    <w:name w:val="Body Text Indent"/>
    <w:basedOn w:val="1"/>
    <w:link w:val="31"/>
    <w:qFormat/>
    <w:uiPriority w:val="0"/>
    <w:pPr>
      <w:ind w:firstLine="555"/>
    </w:pPr>
    <w:rPr>
      <w:rFonts w:ascii="Times New Roman" w:hAnsi="Times New Roman" w:eastAsia="宋体" w:cs="Times New Roman"/>
      <w:kern w:val="0"/>
      <w:sz w:val="24"/>
      <w:szCs w:val="24"/>
    </w:rPr>
  </w:style>
  <w:style w:type="paragraph" w:styleId="10">
    <w:name w:val="Plain Text"/>
    <w:basedOn w:val="1"/>
    <w:link w:val="38"/>
    <w:qFormat/>
    <w:uiPriority w:val="0"/>
    <w:rPr>
      <w:rFonts w:ascii="宋体" w:hAnsi="Courier New" w:eastAsia="宋体" w:cs="Courier New"/>
      <w:sz w:val="24"/>
      <w:szCs w:val="21"/>
    </w:rPr>
  </w:style>
  <w:style w:type="paragraph" w:styleId="11">
    <w:name w:val="Body Text Indent 2"/>
    <w:basedOn w:val="1"/>
    <w:link w:val="30"/>
    <w:qFormat/>
    <w:uiPriority w:val="0"/>
    <w:pPr>
      <w:spacing w:line="540" w:lineRule="exact"/>
      <w:ind w:firstLine="630"/>
    </w:pPr>
    <w:rPr>
      <w:rFonts w:ascii="Times New Roman" w:hAnsi="Times New Roman" w:eastAsia="宋体" w:cs="Times New Roman"/>
      <w:kern w:val="0"/>
      <w:sz w:val="24"/>
      <w:szCs w:val="24"/>
    </w:rPr>
  </w:style>
  <w:style w:type="paragraph" w:styleId="12">
    <w:name w:val="Balloon Text"/>
    <w:basedOn w:val="1"/>
    <w:link w:val="39"/>
    <w:semiHidden/>
    <w:qFormat/>
    <w:uiPriority w:val="0"/>
    <w:rPr>
      <w:rFonts w:ascii="Times New Roman" w:hAnsi="Times New Roman" w:eastAsia="宋体" w:cs="Times New Roman"/>
      <w:kern w:val="0"/>
      <w:sz w:val="18"/>
      <w:szCs w:val="18"/>
    </w:rPr>
  </w:style>
  <w:style w:type="paragraph" w:styleId="13">
    <w:name w:val="footer"/>
    <w:basedOn w:val="1"/>
    <w:link w:val="28"/>
    <w:qFormat/>
    <w:uiPriority w:val="0"/>
    <w:pPr>
      <w:tabs>
        <w:tab w:val="center" w:pos="4153"/>
        <w:tab w:val="right" w:pos="8306"/>
      </w:tabs>
      <w:snapToGrid w:val="0"/>
      <w:jc w:val="left"/>
    </w:pPr>
    <w:rPr>
      <w:rFonts w:ascii="Times New Roman" w:hAnsi="Times New Roman" w:eastAsia="宋体" w:cs="Times New Roman"/>
      <w:kern w:val="0"/>
      <w:sz w:val="18"/>
      <w:szCs w:val="18"/>
    </w:rPr>
  </w:style>
  <w:style w:type="paragraph" w:styleId="14">
    <w:name w:val="header"/>
    <w:basedOn w:val="1"/>
    <w:link w:val="27"/>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kern w:val="0"/>
      <w:sz w:val="18"/>
      <w:szCs w:val="18"/>
    </w:rPr>
  </w:style>
  <w:style w:type="paragraph" w:styleId="15">
    <w:name w:val="toc 1"/>
    <w:basedOn w:val="1"/>
    <w:next w:val="1"/>
    <w:semiHidden/>
    <w:qFormat/>
    <w:uiPriority w:val="0"/>
    <w:pPr>
      <w:tabs>
        <w:tab w:val="right" w:leader="dot" w:pos="8658"/>
      </w:tabs>
      <w:ind w:left="935" w:leftChars="400"/>
    </w:pPr>
    <w:rPr>
      <w:rFonts w:ascii="Times New Roman" w:hAnsi="Times New Roman" w:eastAsia="宋体" w:cs="Times New Roman"/>
      <w:kern w:val="0"/>
      <w:sz w:val="24"/>
      <w:szCs w:val="24"/>
    </w:rPr>
  </w:style>
  <w:style w:type="paragraph" w:styleId="16">
    <w:name w:val="Body Text 2"/>
    <w:basedOn w:val="1"/>
    <w:link w:val="33"/>
    <w:qFormat/>
    <w:uiPriority w:val="0"/>
    <w:pPr>
      <w:jc w:val="center"/>
    </w:pPr>
    <w:rPr>
      <w:rFonts w:ascii="Times New Roman" w:hAnsi="Times New Roman" w:eastAsia="宋体" w:cs="Times New Roman"/>
      <w:kern w:val="0"/>
      <w:szCs w:val="24"/>
    </w:rPr>
  </w:style>
  <w:style w:type="paragraph" w:styleId="17">
    <w:name w:val="index 1"/>
    <w:basedOn w:val="1"/>
    <w:next w:val="1"/>
    <w:semiHidden/>
    <w:qFormat/>
    <w:uiPriority w:val="0"/>
    <w:rPr>
      <w:rFonts w:ascii="Times New Roman" w:hAnsi="Times New Roman" w:eastAsia="宋体" w:cs="Times New Roman"/>
      <w:kern w:val="0"/>
      <w:sz w:val="24"/>
      <w:szCs w:val="24"/>
    </w:rPr>
  </w:style>
  <w:style w:type="paragraph" w:styleId="18">
    <w:name w:val="Body Text First Indent 2"/>
    <w:basedOn w:val="9"/>
    <w:link w:val="53"/>
    <w:semiHidden/>
    <w:unhideWhenUsed/>
    <w:qFormat/>
    <w:uiPriority w:val="99"/>
    <w:pPr>
      <w:spacing w:after="120"/>
      <w:ind w:left="420" w:leftChars="200" w:firstLine="420" w:firstLineChars="200"/>
    </w:pPr>
    <w:rPr>
      <w:rFonts w:asciiTheme="minorHAnsi" w:hAnsiTheme="minorHAnsi" w:eastAsiaTheme="minorEastAsia" w:cstheme="minorBidi"/>
      <w:kern w:val="2"/>
      <w:sz w:val="21"/>
      <w:szCs w:val="22"/>
    </w:rPr>
  </w:style>
  <w:style w:type="table" w:styleId="20">
    <w:name w:val="Table Grid"/>
    <w:basedOn w:val="19"/>
    <w:qFormat/>
    <w:uiPriority w:val="0"/>
    <w:rPr>
      <w:rFonts w:ascii="Times New Roman" w:hAnsi="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2">
    <w:name w:val="page number"/>
    <w:basedOn w:val="21"/>
    <w:qFormat/>
    <w:uiPriority w:val="0"/>
    <w:rPr>
      <w:rFonts w:cs="Times New Roman"/>
    </w:rPr>
  </w:style>
  <w:style w:type="character" w:styleId="23">
    <w:name w:val="Hyperlink"/>
    <w:basedOn w:val="21"/>
    <w:qFormat/>
    <w:uiPriority w:val="0"/>
    <w:rPr>
      <w:rFonts w:cs="Times New Roman"/>
      <w:color w:val="0000FF"/>
      <w:u w:val="single"/>
    </w:rPr>
  </w:style>
  <w:style w:type="character" w:styleId="24">
    <w:name w:val="annotation reference"/>
    <w:qFormat/>
    <w:uiPriority w:val="0"/>
    <w:rPr>
      <w:sz w:val="21"/>
    </w:rPr>
  </w:style>
  <w:style w:type="character" w:customStyle="1" w:styleId="25">
    <w:name w:val="标题 1 Char"/>
    <w:basedOn w:val="21"/>
    <w:link w:val="3"/>
    <w:qFormat/>
    <w:uiPriority w:val="0"/>
    <w:rPr>
      <w:rFonts w:ascii="Times New Roman" w:hAnsi="Times New Roman" w:eastAsia="宋体" w:cs="Times New Roman"/>
      <w:b/>
      <w:bCs/>
      <w:kern w:val="44"/>
      <w:sz w:val="44"/>
      <w:szCs w:val="44"/>
    </w:rPr>
  </w:style>
  <w:style w:type="character" w:customStyle="1" w:styleId="26">
    <w:name w:val="标题 2 Char"/>
    <w:basedOn w:val="21"/>
    <w:link w:val="4"/>
    <w:qFormat/>
    <w:uiPriority w:val="0"/>
    <w:rPr>
      <w:rFonts w:ascii="Arial" w:hAnsi="Arial" w:eastAsia="黑体" w:cs="Times New Roman"/>
      <w:b/>
      <w:kern w:val="0"/>
      <w:sz w:val="32"/>
      <w:szCs w:val="20"/>
    </w:rPr>
  </w:style>
  <w:style w:type="character" w:customStyle="1" w:styleId="27">
    <w:name w:val="页眉 Char"/>
    <w:basedOn w:val="21"/>
    <w:link w:val="14"/>
    <w:qFormat/>
    <w:uiPriority w:val="0"/>
    <w:rPr>
      <w:rFonts w:ascii="Times New Roman" w:hAnsi="Times New Roman" w:eastAsia="宋体" w:cs="Times New Roman"/>
      <w:kern w:val="0"/>
      <w:sz w:val="18"/>
      <w:szCs w:val="18"/>
    </w:rPr>
  </w:style>
  <w:style w:type="character" w:customStyle="1" w:styleId="28">
    <w:name w:val="页脚 Char"/>
    <w:basedOn w:val="21"/>
    <w:link w:val="13"/>
    <w:qFormat/>
    <w:uiPriority w:val="0"/>
    <w:rPr>
      <w:rFonts w:ascii="Times New Roman" w:hAnsi="Times New Roman" w:eastAsia="宋体" w:cs="Times New Roman"/>
      <w:kern w:val="0"/>
      <w:sz w:val="18"/>
      <w:szCs w:val="18"/>
    </w:rPr>
  </w:style>
  <w:style w:type="paragraph" w:customStyle="1" w:styleId="29">
    <w:name w:val="正文文字缩进"/>
    <w:qFormat/>
    <w:uiPriority w:val="0"/>
    <w:pPr>
      <w:spacing w:line="351" w:lineRule="atLeast"/>
      <w:ind w:firstLine="555"/>
      <w:textAlignment w:val="baseline"/>
    </w:pPr>
    <w:rPr>
      <w:rFonts w:ascii="Times New Roman" w:hAnsi="Times New Roman" w:eastAsia="宋体" w:cs="Times New Roman"/>
      <w:color w:val="000000"/>
      <w:sz w:val="28"/>
      <w:u w:color="000000"/>
      <w:lang w:val="en-US" w:eastAsia="zh-CN" w:bidi="ar-SA"/>
    </w:rPr>
  </w:style>
  <w:style w:type="character" w:customStyle="1" w:styleId="30">
    <w:name w:val="正文文本缩进 2 Char"/>
    <w:basedOn w:val="21"/>
    <w:link w:val="11"/>
    <w:qFormat/>
    <w:uiPriority w:val="0"/>
    <w:rPr>
      <w:rFonts w:ascii="Times New Roman" w:hAnsi="Times New Roman" w:eastAsia="宋体" w:cs="Times New Roman"/>
      <w:kern w:val="0"/>
      <w:sz w:val="24"/>
      <w:szCs w:val="24"/>
    </w:rPr>
  </w:style>
  <w:style w:type="character" w:customStyle="1" w:styleId="31">
    <w:name w:val="正文文本缩进 Char"/>
    <w:basedOn w:val="21"/>
    <w:link w:val="9"/>
    <w:qFormat/>
    <w:uiPriority w:val="0"/>
    <w:rPr>
      <w:rFonts w:ascii="Times New Roman" w:hAnsi="Times New Roman" w:eastAsia="宋体" w:cs="Times New Roman"/>
      <w:kern w:val="0"/>
      <w:sz w:val="24"/>
      <w:szCs w:val="24"/>
    </w:rPr>
  </w:style>
  <w:style w:type="character" w:customStyle="1" w:styleId="32">
    <w:name w:val="正文文本 Char"/>
    <w:basedOn w:val="21"/>
    <w:link w:val="8"/>
    <w:qFormat/>
    <w:uiPriority w:val="0"/>
    <w:rPr>
      <w:rFonts w:ascii="Times New Roman" w:hAnsi="Times New Roman" w:eastAsia="宋体" w:cs="Times New Roman"/>
      <w:kern w:val="0"/>
      <w:szCs w:val="24"/>
    </w:rPr>
  </w:style>
  <w:style w:type="character" w:customStyle="1" w:styleId="33">
    <w:name w:val="正文文本 2 Char"/>
    <w:basedOn w:val="21"/>
    <w:link w:val="16"/>
    <w:qFormat/>
    <w:uiPriority w:val="0"/>
    <w:rPr>
      <w:rFonts w:ascii="Times New Roman" w:hAnsi="Times New Roman" w:eastAsia="宋体" w:cs="Times New Roman"/>
      <w:kern w:val="0"/>
      <w:szCs w:val="24"/>
    </w:rPr>
  </w:style>
  <w:style w:type="paragraph" w:customStyle="1" w:styleId="34">
    <w:name w:val="样式1"/>
    <w:basedOn w:val="3"/>
    <w:qFormat/>
    <w:uiPriority w:val="0"/>
    <w:pPr>
      <w:spacing w:line="640" w:lineRule="exact"/>
      <w:jc w:val="center"/>
    </w:pPr>
    <w:rPr>
      <w:rFonts w:ascii="方正小标宋简体" w:hAnsi="华文中宋" w:eastAsia="方正小标宋简体"/>
      <w:b w:val="0"/>
    </w:rPr>
  </w:style>
  <w:style w:type="paragraph" w:customStyle="1" w:styleId="35">
    <w:name w:val="样式2"/>
    <w:basedOn w:val="3"/>
    <w:qFormat/>
    <w:uiPriority w:val="0"/>
    <w:pPr>
      <w:spacing w:line="640" w:lineRule="exact"/>
      <w:jc w:val="center"/>
    </w:pPr>
    <w:rPr>
      <w:rFonts w:ascii="方正小标宋简体" w:hAnsi="华文中宋" w:eastAsia="方正小标宋简体"/>
      <w:b w:val="0"/>
    </w:rPr>
  </w:style>
  <w:style w:type="paragraph" w:customStyle="1" w:styleId="36">
    <w:name w:val="样式3"/>
    <w:basedOn w:val="3"/>
    <w:qFormat/>
    <w:uiPriority w:val="0"/>
    <w:pPr>
      <w:spacing w:line="640" w:lineRule="exact"/>
      <w:jc w:val="center"/>
    </w:pPr>
    <w:rPr>
      <w:rFonts w:ascii="方正小标宋简体" w:hAnsi="华文中宋" w:eastAsia="方正小标宋简体"/>
      <w:b w:val="0"/>
    </w:rPr>
  </w:style>
  <w:style w:type="character" w:customStyle="1" w:styleId="37">
    <w:name w:val="文档结构图 Char"/>
    <w:basedOn w:val="21"/>
    <w:link w:val="6"/>
    <w:semiHidden/>
    <w:qFormat/>
    <w:uiPriority w:val="0"/>
    <w:rPr>
      <w:rFonts w:ascii="Times New Roman" w:hAnsi="Times New Roman" w:eastAsia="宋体" w:cs="Times New Roman"/>
      <w:kern w:val="0"/>
      <w:sz w:val="24"/>
      <w:szCs w:val="24"/>
      <w:shd w:val="clear" w:color="auto" w:fill="000080"/>
    </w:rPr>
  </w:style>
  <w:style w:type="character" w:customStyle="1" w:styleId="38">
    <w:name w:val="纯文本 Char"/>
    <w:basedOn w:val="21"/>
    <w:link w:val="10"/>
    <w:qFormat/>
    <w:uiPriority w:val="0"/>
    <w:rPr>
      <w:rFonts w:ascii="宋体" w:hAnsi="Courier New" w:eastAsia="宋体" w:cs="Courier New"/>
      <w:sz w:val="24"/>
      <w:szCs w:val="21"/>
    </w:rPr>
  </w:style>
  <w:style w:type="character" w:customStyle="1" w:styleId="39">
    <w:name w:val="批注框文本 Char"/>
    <w:basedOn w:val="21"/>
    <w:link w:val="12"/>
    <w:semiHidden/>
    <w:qFormat/>
    <w:uiPriority w:val="0"/>
    <w:rPr>
      <w:rFonts w:ascii="Times New Roman" w:hAnsi="Times New Roman" w:eastAsia="宋体" w:cs="Times New Roman"/>
      <w:kern w:val="0"/>
      <w:sz w:val="18"/>
      <w:szCs w:val="18"/>
    </w:rPr>
  </w:style>
  <w:style w:type="paragraph" w:customStyle="1" w:styleId="40">
    <w:name w:val="列出段落1"/>
    <w:basedOn w:val="1"/>
    <w:link w:val="44"/>
    <w:qFormat/>
    <w:uiPriority w:val="0"/>
    <w:pPr>
      <w:widowControl/>
      <w:ind w:left="720" w:firstLine="360"/>
      <w:jc w:val="left"/>
    </w:pPr>
    <w:rPr>
      <w:rFonts w:ascii="Calibri" w:hAnsi="Calibri" w:eastAsia="宋体" w:cs="Times New Roman"/>
      <w:kern w:val="0"/>
      <w:sz w:val="22"/>
      <w:szCs w:val="20"/>
      <w:lang w:eastAsia="en-US"/>
    </w:rPr>
  </w:style>
  <w:style w:type="paragraph" w:customStyle="1" w:styleId="41">
    <w:name w:val="1111111199999"/>
    <w:basedOn w:val="1"/>
    <w:link w:val="42"/>
    <w:qFormat/>
    <w:uiPriority w:val="0"/>
    <w:pPr>
      <w:widowControl/>
      <w:spacing w:beforeLines="50" w:line="240" w:lineRule="exact"/>
      <w:ind w:firstLine="514" w:firstLineChars="214"/>
      <w:jc w:val="left"/>
    </w:pPr>
    <w:rPr>
      <w:rFonts w:ascii="Times New Roman" w:hAnsi="Times New Roman" w:eastAsia="宋体" w:cs="Times New Roman"/>
      <w:kern w:val="0"/>
      <w:szCs w:val="20"/>
    </w:rPr>
  </w:style>
  <w:style w:type="character" w:customStyle="1" w:styleId="42">
    <w:name w:val="1111111199999 Char"/>
    <w:link w:val="41"/>
    <w:qFormat/>
    <w:locked/>
    <w:uiPriority w:val="0"/>
    <w:rPr>
      <w:rFonts w:ascii="Times New Roman" w:hAnsi="Times New Roman" w:eastAsia="宋体" w:cs="Times New Roman"/>
      <w:kern w:val="0"/>
      <w:szCs w:val="20"/>
    </w:rPr>
  </w:style>
  <w:style w:type="character" w:customStyle="1" w:styleId="43">
    <w:name w:val="apple-style-span"/>
    <w:qFormat/>
    <w:uiPriority w:val="0"/>
  </w:style>
  <w:style w:type="character" w:customStyle="1" w:styleId="44">
    <w:name w:val="List Paragraph Char"/>
    <w:link w:val="40"/>
    <w:qFormat/>
    <w:locked/>
    <w:uiPriority w:val="0"/>
    <w:rPr>
      <w:rFonts w:ascii="Calibri" w:hAnsi="Calibri" w:eastAsia="宋体" w:cs="Times New Roman"/>
      <w:kern w:val="0"/>
      <w:sz w:val="22"/>
      <w:szCs w:val="20"/>
      <w:lang w:eastAsia="en-US"/>
    </w:rPr>
  </w:style>
  <w:style w:type="paragraph" w:customStyle="1" w:styleId="45">
    <w:name w:val="Char Char Char Char"/>
    <w:basedOn w:val="1"/>
    <w:qFormat/>
    <w:uiPriority w:val="0"/>
    <w:rPr>
      <w:rFonts w:ascii="Times New Roman" w:hAnsi="Times New Roman" w:eastAsia="宋体" w:cs="Times New Roman"/>
      <w:sz w:val="24"/>
      <w:szCs w:val="36"/>
    </w:rPr>
  </w:style>
  <w:style w:type="character" w:customStyle="1" w:styleId="46">
    <w:name w:val="Char Char4"/>
    <w:qFormat/>
    <w:locked/>
    <w:uiPriority w:val="0"/>
    <w:rPr>
      <w:rFonts w:ascii="宋体" w:hAnsi="Courier New" w:eastAsia="宋体"/>
      <w:kern w:val="2"/>
      <w:sz w:val="21"/>
      <w:lang w:bidi="ar-SA"/>
    </w:rPr>
  </w:style>
  <w:style w:type="character" w:customStyle="1" w:styleId="47">
    <w:name w:val="样式 (中文) 仿宋_GB2312 三号"/>
    <w:basedOn w:val="21"/>
    <w:qFormat/>
    <w:uiPriority w:val="0"/>
    <w:rPr>
      <w:rFonts w:hint="eastAsia" w:ascii="仿宋_GB2312" w:eastAsia="仿宋_GB2312"/>
      <w:sz w:val="32"/>
    </w:rPr>
  </w:style>
  <w:style w:type="character" w:customStyle="1" w:styleId="48">
    <w:name w:val="Char Char3"/>
    <w:basedOn w:val="21"/>
    <w:qFormat/>
    <w:locked/>
    <w:uiPriority w:val="0"/>
    <w:rPr>
      <w:rFonts w:ascii="宋体" w:hAnsi="宋体" w:eastAsia="宋体"/>
      <w:sz w:val="18"/>
      <w:szCs w:val="18"/>
      <w:lang w:val="en-US" w:eastAsia="zh-CN" w:bidi="ar-SA"/>
    </w:rPr>
  </w:style>
  <w:style w:type="paragraph" w:customStyle="1" w:styleId="49">
    <w:name w:val="_Style 1"/>
    <w:basedOn w:val="1"/>
    <w:qFormat/>
    <w:uiPriority w:val="99"/>
    <w:pPr>
      <w:ind w:firstLine="420" w:firstLineChars="200"/>
    </w:pPr>
  </w:style>
  <w:style w:type="paragraph" w:styleId="50">
    <w:name w:val="List Paragraph"/>
    <w:basedOn w:val="1"/>
    <w:qFormat/>
    <w:uiPriority w:val="99"/>
    <w:pPr>
      <w:ind w:firstLine="420" w:firstLineChars="200"/>
    </w:pPr>
  </w:style>
  <w:style w:type="paragraph" w:styleId="51">
    <w:name w:val="No Spacing"/>
    <w:qFormat/>
    <w:uiPriority w:val="0"/>
    <w:pPr>
      <w:widowControl w:val="0"/>
      <w:jc w:val="both"/>
    </w:pPr>
    <w:rPr>
      <w:rFonts w:ascii="Times New Roman" w:hAnsi="Times New Roman" w:eastAsia="宋体" w:cs="Times New Roman"/>
      <w:kern w:val="2"/>
      <w:sz w:val="21"/>
      <w:szCs w:val="22"/>
      <w:lang w:val="en-US" w:eastAsia="zh-CN" w:bidi="ar-SA"/>
    </w:rPr>
  </w:style>
  <w:style w:type="table" w:customStyle="1" w:styleId="52">
    <w:name w:val="网格型1"/>
    <w:basedOn w:val="19"/>
    <w:qFormat/>
    <w:uiPriority w:val="0"/>
    <w:rPr>
      <w:rFonts w:ascii="Times New Roman" w:hAnsi="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53">
    <w:name w:val="正文首行缩进 2 Char"/>
    <w:basedOn w:val="31"/>
    <w:link w:val="18"/>
    <w:semiHidden/>
    <w:qFormat/>
    <w:uiPriority w:val="99"/>
    <w:rPr>
      <w:kern w:val="2"/>
      <w:sz w:val="21"/>
      <w:szCs w:val="22"/>
    </w:rPr>
  </w:style>
  <w:style w:type="paragraph" w:customStyle="1" w:styleId="54">
    <w:name w:val="无间隔1"/>
    <w:basedOn w:val="1"/>
    <w:qFormat/>
    <w:uiPriority w:val="0"/>
    <w:pPr>
      <w:spacing w:line="400" w:lineRule="exact"/>
    </w:pPr>
    <w:rPr>
      <w:rFonts w:ascii="Times New Roman" w:hAnsi="Times New Roman" w:eastAsia="宋体" w:cs="Times New Roman"/>
      <w:sz w:val="24"/>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6.xml"/><Relationship Id="rId8" Type="http://schemas.openxmlformats.org/officeDocument/2006/relationships/header" Target="header5.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2.emf"/><Relationship Id="rId11" Type="http://schemas.openxmlformats.org/officeDocument/2006/relationships/image" Target="media/image1.emf"/><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43"/>
    <customShpInfo spid="_x0000_s1042"/>
    <customShpInfo spid="_x0000_s1045"/>
    <customShpInfo spid="_x0000_s1044"/>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C6F56F7-842A-4392-8A2F-81CC8FD88A8B}">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4495</Words>
  <Characters>25625</Characters>
  <Lines>213</Lines>
  <Paragraphs>60</Paragraphs>
  <TotalTime>28</TotalTime>
  <ScaleCrop>false</ScaleCrop>
  <LinksUpToDate>false</LinksUpToDate>
  <CharactersWithSpaces>30060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2021-10-25T04:24:00Z</dcterms:created>
  <dc:creator>Administrator</dc:creator>
  <cp:lastModifiedBy>可可</cp:lastModifiedBy>
  <cp:lastPrinted>2016-11-01T08:59:00Z</cp:lastPrinted>
  <dcterms:modified xsi:type="dcterms:W3CDTF">2021-11-12T00:48:00Z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